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D3" w:rsidRDefault="00B275E3" w:rsidP="0086053B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РЕКОМЕНДАЦІ</w:t>
      </w:r>
      <w:r w:rsidR="00331065">
        <w:rPr>
          <w:rFonts w:ascii="Times New Roman" w:hAnsi="Times New Roman"/>
          <w:b/>
          <w:sz w:val="28"/>
          <w:szCs w:val="28"/>
        </w:rPr>
        <w:t>Ї</w:t>
      </w:r>
    </w:p>
    <w:p w:rsidR="00BD6E9C" w:rsidRPr="007A6259" w:rsidRDefault="00BD6E9C" w:rsidP="0086053B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5D4">
        <w:rPr>
          <w:rFonts w:ascii="Times New Roman" w:hAnsi="Times New Roman"/>
          <w:b/>
          <w:sz w:val="28"/>
          <w:szCs w:val="28"/>
        </w:rPr>
        <w:t>щодо подання</w:t>
      </w:r>
      <w:r w:rsidR="0086053B">
        <w:rPr>
          <w:rFonts w:ascii="Times New Roman" w:hAnsi="Times New Roman"/>
          <w:b/>
          <w:sz w:val="28"/>
          <w:szCs w:val="28"/>
        </w:rPr>
        <w:t xml:space="preserve"> з 28 квітня 2020 року</w:t>
      </w:r>
      <w:r w:rsidR="002071D3">
        <w:rPr>
          <w:rFonts w:ascii="Times New Roman" w:hAnsi="Times New Roman"/>
          <w:b/>
          <w:sz w:val="28"/>
          <w:szCs w:val="28"/>
        </w:rPr>
        <w:t xml:space="preserve"> </w:t>
      </w:r>
      <w:r w:rsidR="00453686" w:rsidRPr="0086053B">
        <w:rPr>
          <w:rFonts w:ascii="Times New Roman" w:hAnsi="Times New Roman"/>
          <w:b/>
          <w:sz w:val="28"/>
          <w:szCs w:val="28"/>
        </w:rPr>
        <w:t>суб’єктами первинного фінансового моніторингу</w:t>
      </w:r>
      <w:r w:rsidRPr="0086053B">
        <w:rPr>
          <w:rFonts w:ascii="Times New Roman" w:hAnsi="Times New Roman"/>
          <w:b/>
          <w:sz w:val="28"/>
          <w:szCs w:val="28"/>
        </w:rPr>
        <w:t xml:space="preserve"> </w:t>
      </w:r>
      <w:r w:rsidR="0010024C" w:rsidRPr="0086053B">
        <w:rPr>
          <w:rFonts w:ascii="Times New Roman" w:hAnsi="Times New Roman"/>
          <w:b/>
          <w:sz w:val="28"/>
          <w:szCs w:val="28"/>
        </w:rPr>
        <w:t xml:space="preserve">– небанківськими установами </w:t>
      </w:r>
      <w:r w:rsidRPr="0086053B">
        <w:rPr>
          <w:rFonts w:ascii="Times New Roman" w:hAnsi="Times New Roman"/>
          <w:b/>
          <w:sz w:val="28"/>
          <w:szCs w:val="28"/>
        </w:rPr>
        <w:t>до Держфінмоніторингу інформації про фінансові операції, що підлягають фінансовому моніторингу, іншої інформації</w:t>
      </w:r>
      <w:r w:rsidR="00EB25D4" w:rsidRPr="0086053B">
        <w:rPr>
          <w:rFonts w:ascii="Times New Roman" w:hAnsi="Times New Roman"/>
          <w:b/>
          <w:sz w:val="28"/>
          <w:szCs w:val="28"/>
        </w:rPr>
        <w:t>,</w:t>
      </w:r>
      <w:r w:rsidRPr="0086053B">
        <w:rPr>
          <w:rFonts w:ascii="Times New Roman" w:hAnsi="Times New Roman"/>
          <w:b/>
          <w:sz w:val="28"/>
          <w:szCs w:val="28"/>
        </w:rPr>
        <w:t xml:space="preserve"> що може бути</w:t>
      </w:r>
      <w:r w:rsidR="00EB25D4" w:rsidRPr="0086053B">
        <w:rPr>
          <w:rFonts w:ascii="Times New Roman" w:hAnsi="Times New Roman"/>
          <w:b/>
          <w:sz w:val="28"/>
          <w:szCs w:val="28"/>
        </w:rPr>
        <w:t xml:space="preserve"> пов’язана з легалізацією (відмиванням</w:t>
      </w:r>
      <w:r w:rsidR="00EB25D4" w:rsidRPr="007A6259">
        <w:rPr>
          <w:rFonts w:ascii="Times New Roman" w:hAnsi="Times New Roman"/>
          <w:b/>
          <w:sz w:val="28"/>
          <w:szCs w:val="28"/>
        </w:rPr>
        <w:t>) доходів, одержаних злочинним шляхом, або фінансуванням тероризму чи фінансуванням розповсюдження зброї масового знищення</w:t>
      </w:r>
    </w:p>
    <w:p w:rsidR="002071D3" w:rsidRPr="007A6259" w:rsidRDefault="002071D3" w:rsidP="0086053B">
      <w:pPr>
        <w:widowControl w:val="0"/>
        <w:spacing w:before="120" w:after="120" w:line="240" w:lineRule="auto"/>
        <w:rPr>
          <w:rFonts w:ascii="Times New Roman" w:hAnsi="Times New Roman"/>
          <w:b/>
          <w:sz w:val="28"/>
          <w:szCs w:val="28"/>
        </w:rPr>
      </w:pPr>
    </w:p>
    <w:p w:rsidR="000C1F4A" w:rsidRPr="0086053B" w:rsidRDefault="00716610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6259">
        <w:rPr>
          <w:rFonts w:ascii="Times New Roman" w:hAnsi="Times New Roman"/>
          <w:sz w:val="28"/>
          <w:szCs w:val="28"/>
        </w:rPr>
        <w:t>28.04.2020 набирає чинності Закон України</w:t>
      </w:r>
      <w:r w:rsidR="0053112D" w:rsidRPr="007A6259">
        <w:rPr>
          <w:rFonts w:ascii="Times New Roman" w:hAnsi="Times New Roman"/>
          <w:bCs/>
          <w:iCs/>
          <w:sz w:val="28"/>
          <w:szCs w:val="28"/>
        </w:rPr>
        <w:t xml:space="preserve"> від 06.12.2019 № 361-ІХ</w:t>
      </w:r>
      <w:r w:rsidRPr="007A6259">
        <w:rPr>
          <w:rFonts w:ascii="Times New Roman" w:hAnsi="Times New Roman"/>
          <w:sz w:val="28"/>
          <w:szCs w:val="28"/>
        </w:rPr>
        <w:t xml:space="preserve">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DA38EF" w:rsidRPr="007A6259">
        <w:rPr>
          <w:rFonts w:ascii="Times New Roman" w:hAnsi="Times New Roman"/>
          <w:sz w:val="28"/>
          <w:szCs w:val="28"/>
        </w:rPr>
        <w:t xml:space="preserve"> (далі –</w:t>
      </w:r>
      <w:r w:rsidR="000C1F4A" w:rsidRPr="007A6259">
        <w:rPr>
          <w:rFonts w:ascii="Times New Roman" w:hAnsi="Times New Roman"/>
          <w:sz w:val="28"/>
          <w:szCs w:val="28"/>
        </w:rPr>
        <w:t xml:space="preserve"> Закон).</w:t>
      </w:r>
      <w:r w:rsidR="000E38F4" w:rsidRPr="0086053B">
        <w:rPr>
          <w:rFonts w:ascii="Times New Roman" w:hAnsi="Times New Roman"/>
          <w:sz w:val="28"/>
          <w:szCs w:val="28"/>
        </w:rPr>
        <w:t xml:space="preserve"> </w:t>
      </w:r>
    </w:p>
    <w:p w:rsidR="003471E0" w:rsidRPr="0086053B" w:rsidRDefault="00223E05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53B">
        <w:rPr>
          <w:rFonts w:ascii="Times New Roman" w:hAnsi="Times New Roman"/>
          <w:sz w:val="28"/>
          <w:szCs w:val="28"/>
        </w:rPr>
        <w:t>Відповідно до</w:t>
      </w:r>
      <w:r w:rsidR="003471E0" w:rsidRPr="0086053B">
        <w:rPr>
          <w:rFonts w:ascii="Times New Roman" w:hAnsi="Times New Roman"/>
          <w:sz w:val="28"/>
          <w:szCs w:val="28"/>
        </w:rPr>
        <w:t xml:space="preserve"> пункту 7 розділу Х Закону</w:t>
      </w:r>
      <w:r w:rsidR="00A43AA0" w:rsidRPr="0086053B">
        <w:rPr>
          <w:rFonts w:ascii="Times New Roman" w:hAnsi="Times New Roman"/>
          <w:sz w:val="28"/>
          <w:szCs w:val="28"/>
        </w:rPr>
        <w:t>,</w:t>
      </w:r>
      <w:r w:rsidR="003471E0" w:rsidRPr="0086053B">
        <w:rPr>
          <w:rFonts w:ascii="Times New Roman" w:hAnsi="Times New Roman"/>
          <w:sz w:val="28"/>
          <w:szCs w:val="28"/>
        </w:rPr>
        <w:t xml:space="preserve"> Кабінет Міністрів У</w:t>
      </w:r>
      <w:r w:rsidR="007A7EB5" w:rsidRPr="0086053B">
        <w:rPr>
          <w:rFonts w:ascii="Times New Roman" w:hAnsi="Times New Roman"/>
          <w:sz w:val="28"/>
          <w:szCs w:val="28"/>
        </w:rPr>
        <w:t>к</w:t>
      </w:r>
      <w:r w:rsidR="003471E0" w:rsidRPr="0086053B">
        <w:rPr>
          <w:rFonts w:ascii="Times New Roman" w:hAnsi="Times New Roman"/>
          <w:sz w:val="28"/>
          <w:szCs w:val="28"/>
        </w:rPr>
        <w:t xml:space="preserve">раїни </w:t>
      </w:r>
      <w:r w:rsidR="0086053B" w:rsidRPr="0086053B">
        <w:rPr>
          <w:rFonts w:ascii="Times New Roman" w:hAnsi="Times New Roman"/>
          <w:sz w:val="28"/>
          <w:szCs w:val="28"/>
        </w:rPr>
        <w:t>зобов’язаний</w:t>
      </w:r>
      <w:r w:rsidR="003471E0" w:rsidRPr="0086053B">
        <w:rPr>
          <w:rFonts w:ascii="Times New Roman" w:hAnsi="Times New Roman"/>
          <w:sz w:val="28"/>
          <w:szCs w:val="28"/>
        </w:rPr>
        <w:t xml:space="preserve"> </w:t>
      </w:r>
      <w:r w:rsidR="007A7EB5" w:rsidRPr="0086053B">
        <w:rPr>
          <w:rFonts w:ascii="Times New Roman" w:hAnsi="Times New Roman"/>
          <w:sz w:val="28"/>
          <w:szCs w:val="28"/>
        </w:rPr>
        <w:t xml:space="preserve">протягом трьох місяців з дня набрання чинності цим Законом </w:t>
      </w:r>
      <w:r w:rsidR="003471E0" w:rsidRPr="0086053B">
        <w:rPr>
          <w:rFonts w:ascii="Times New Roman" w:hAnsi="Times New Roman"/>
          <w:sz w:val="28"/>
          <w:szCs w:val="28"/>
        </w:rPr>
        <w:t xml:space="preserve">привести свої нормативно-правові акти у відповідність </w:t>
      </w:r>
      <w:r w:rsidR="00A43AA0" w:rsidRPr="0086053B">
        <w:rPr>
          <w:rFonts w:ascii="Times New Roman" w:hAnsi="Times New Roman"/>
          <w:sz w:val="28"/>
          <w:szCs w:val="28"/>
        </w:rPr>
        <w:t>і</w:t>
      </w:r>
      <w:r w:rsidR="003471E0" w:rsidRPr="0086053B">
        <w:rPr>
          <w:rFonts w:ascii="Times New Roman" w:hAnsi="Times New Roman"/>
          <w:sz w:val="28"/>
          <w:szCs w:val="28"/>
        </w:rPr>
        <w:t>з Законом</w:t>
      </w:r>
      <w:r w:rsidR="007A7EB5" w:rsidRPr="0086053B">
        <w:rPr>
          <w:rFonts w:ascii="Times New Roman" w:hAnsi="Times New Roman"/>
          <w:sz w:val="28"/>
          <w:szCs w:val="28"/>
        </w:rPr>
        <w:t>,</w:t>
      </w:r>
      <w:r w:rsidR="003471E0" w:rsidRPr="0086053B">
        <w:rPr>
          <w:rFonts w:ascii="Times New Roman" w:hAnsi="Times New Roman"/>
          <w:sz w:val="28"/>
          <w:szCs w:val="28"/>
        </w:rPr>
        <w:t xml:space="preserve"> а також забезпечити перегляд </w:t>
      </w:r>
      <w:r w:rsidR="007A7EB5" w:rsidRPr="0086053B">
        <w:rPr>
          <w:rFonts w:ascii="Times New Roman" w:hAnsi="Times New Roman"/>
          <w:sz w:val="28"/>
          <w:szCs w:val="28"/>
        </w:rPr>
        <w:t>і скасування міністерствами та іншими центральними органами виконавчої влади їх нормативно-правових актів, що суперечать цьому Закону.</w:t>
      </w:r>
    </w:p>
    <w:p w:rsidR="00022E94" w:rsidRPr="002A6F09" w:rsidRDefault="001832BC" w:rsidP="00FD6990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6F09">
        <w:rPr>
          <w:rFonts w:ascii="Times New Roman" w:hAnsi="Times New Roman"/>
          <w:bCs/>
          <w:sz w:val="28"/>
          <w:szCs w:val="28"/>
        </w:rPr>
        <w:t>Принагідно інформуємо, що нормативно-правові акти з питань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 будуть діяти після набрання чинності Закону № 361-</w:t>
      </w:r>
      <w:r w:rsidRPr="002A6F09">
        <w:rPr>
          <w:rFonts w:ascii="Times New Roman" w:hAnsi="Times New Roman"/>
          <w:bCs/>
          <w:sz w:val="28"/>
          <w:szCs w:val="28"/>
          <w:lang w:val="en-US"/>
        </w:rPr>
        <w:t>IX</w:t>
      </w:r>
      <w:r w:rsidRPr="002A6F09">
        <w:rPr>
          <w:rFonts w:ascii="Times New Roman" w:hAnsi="Times New Roman"/>
          <w:bCs/>
          <w:sz w:val="28"/>
          <w:szCs w:val="28"/>
        </w:rPr>
        <w:t>, в частині, що не суперечить Закону № 361-IX.</w:t>
      </w:r>
    </w:p>
    <w:p w:rsidR="00B84397" w:rsidRPr="00FD6990" w:rsidRDefault="00FB05E0" w:rsidP="00FD699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</w:rPr>
        <w:t xml:space="preserve">Разом з тим, </w:t>
      </w:r>
      <w:r w:rsidRPr="00FD6990">
        <w:rPr>
          <w:rFonts w:ascii="Times New Roman" w:hAnsi="Times New Roman"/>
          <w:bCs/>
          <w:sz w:val="28"/>
          <w:szCs w:val="28"/>
        </w:rPr>
        <w:t>частиною другою</w:t>
      </w:r>
      <w:r>
        <w:rPr>
          <w:rFonts w:ascii="Times New Roman" w:hAnsi="Times New Roman"/>
          <w:bCs/>
          <w:sz w:val="28"/>
          <w:szCs w:val="28"/>
        </w:rPr>
        <w:t xml:space="preserve"> статті 8 Закону встановлено, що з 28.04.2020 СПФМ зобов</w:t>
      </w:r>
      <w:r w:rsidRPr="00BD4F57">
        <w:rPr>
          <w:rFonts w:ascii="Times New Roman" w:hAnsi="Times New Roman"/>
          <w:bCs/>
          <w:sz w:val="28"/>
          <w:szCs w:val="28"/>
        </w:rPr>
        <w:t>’</w:t>
      </w:r>
      <w:r>
        <w:rPr>
          <w:rFonts w:ascii="Times New Roman" w:hAnsi="Times New Roman"/>
          <w:bCs/>
          <w:sz w:val="28"/>
          <w:szCs w:val="28"/>
        </w:rPr>
        <w:t xml:space="preserve">язаний повідомляти Держфінмоніторинг про </w:t>
      </w:r>
      <w:r w:rsidRPr="007E1F7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Pr="007E1F7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операці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ї</w:t>
      </w:r>
      <w:r w:rsidRPr="007E1F74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що підлягають фінансовому </w:t>
      </w:r>
      <w:r w:rsidRPr="0034222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моніторингу (порогові фінансові операції, підозрілі фінансові операції, підозріла діяльність)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та надавати </w:t>
      </w:r>
      <w:r>
        <w:rPr>
          <w:rFonts w:ascii="Times New Roman" w:hAnsi="Times New Roman"/>
          <w:sz w:val="28"/>
          <w:szCs w:val="28"/>
        </w:rPr>
        <w:t>іншу інформацію</w:t>
      </w:r>
      <w:r w:rsidRPr="00BD4F57">
        <w:rPr>
          <w:rFonts w:ascii="Times New Roman" w:hAnsi="Times New Roman"/>
          <w:sz w:val="28"/>
          <w:szCs w:val="28"/>
        </w:rPr>
        <w:t>, що може бути пов’язана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C7917">
        <w:rPr>
          <w:rFonts w:ascii="Times New Roman" w:hAnsi="Times New Roman"/>
          <w:sz w:val="28"/>
          <w:szCs w:val="28"/>
        </w:rPr>
        <w:t>далі</w:t>
      </w:r>
      <w:r w:rsidRPr="007C79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– інформація, що може бути пов</w:t>
      </w:r>
      <w:r w:rsidRPr="007C79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язана з проведенням фінансового моніторингу</w:t>
      </w:r>
      <w:r w:rsidRPr="00E24FBE">
        <w:rPr>
          <w:rFonts w:ascii="Times New Roman" w:hAnsi="Times New Roman"/>
          <w:sz w:val="28"/>
          <w:szCs w:val="28"/>
        </w:rPr>
        <w:t>)</w:t>
      </w:r>
      <w:r w:rsidRPr="00E24FB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 саме:</w:t>
      </w:r>
      <w:r w:rsidRPr="00657310">
        <w:rPr>
          <w:rFonts w:ascii="Times New Roman" w:eastAsia="Times New Roman" w:hAnsi="Times New Roman"/>
          <w:strike/>
          <w:color w:val="000000"/>
          <w:sz w:val="28"/>
          <w:szCs w:val="28"/>
          <w:lang w:eastAsia="uk-UA"/>
        </w:rPr>
        <w:t xml:space="preserve"> </w:t>
      </w:r>
    </w:p>
    <w:p w:rsidR="00FB05E0" w:rsidRPr="00FD6990" w:rsidRDefault="00FB05E0" w:rsidP="00FB05E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фінансові операції, пов’язані з відстеженням (моніторингом) на запит Держфінмоніторингу; </w:t>
      </w:r>
    </w:p>
    <w:p w:rsidR="00FB05E0" w:rsidRPr="00FD6990" w:rsidRDefault="00FB05E0" w:rsidP="00FB05E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6990">
        <w:rPr>
          <w:rFonts w:ascii="Times New Roman" w:hAnsi="Times New Roman"/>
          <w:sz w:val="28"/>
          <w:szCs w:val="28"/>
        </w:rPr>
        <w:t>фінансові операції, пов’язані з зупиненням за</w:t>
      </w:r>
      <w:r w:rsidR="00153371">
        <w:rPr>
          <w:rFonts w:ascii="Times New Roman" w:hAnsi="Times New Roman"/>
          <w:sz w:val="28"/>
          <w:szCs w:val="28"/>
        </w:rPr>
        <w:t xml:space="preserve"> дорученням Держфінмоніторингу </w:t>
      </w:r>
      <w:r w:rsidRPr="00FD6990">
        <w:rPr>
          <w:rFonts w:ascii="Times New Roman" w:hAnsi="Times New Roman"/>
          <w:sz w:val="28"/>
          <w:szCs w:val="28"/>
        </w:rPr>
        <w:t>з метою виконання запиту уповноваженого органу іноземної держави</w:t>
      </w: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; </w:t>
      </w:r>
    </w:p>
    <w:p w:rsidR="00FB05E0" w:rsidRPr="00FD6990" w:rsidRDefault="00FB05E0" w:rsidP="00FB05E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прибуткові</w:t>
      </w:r>
      <w:r w:rsid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фінансові операції, пов’язані з рішенням</w:t>
      </w: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/дорученням Держфінмоніторингу; </w:t>
      </w:r>
    </w:p>
    <w:p w:rsidR="00FB05E0" w:rsidRPr="00FD6990" w:rsidRDefault="00FB05E0" w:rsidP="00FB05E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спроби здійснення видаткових фінансових операцій, пов’язаних</w:t>
      </w:r>
      <w:r w:rsidR="00153371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</w:t>
      </w: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lastRenderedPageBreak/>
        <w:t xml:space="preserve">рішенням /дорученням Держфінмоніторингу; </w:t>
      </w:r>
    </w:p>
    <w:p w:rsidR="00FB05E0" w:rsidRPr="00342221" w:rsidRDefault="00FB05E0" w:rsidP="00FB05E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FD6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фінансові операції, пов’язані з моніторингом за дорученням Держфінмоніторингу з метою виконання запиту уповноваженого органу іноземної держави.</w:t>
      </w:r>
    </w:p>
    <w:p w:rsidR="0086053B" w:rsidRDefault="008428C0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428C0">
        <w:rPr>
          <w:rFonts w:ascii="Times New Roman" w:hAnsi="Times New Roman"/>
          <w:sz w:val="28"/>
          <w:szCs w:val="28"/>
          <w:lang w:eastAsia="uk-UA"/>
        </w:rPr>
        <w:t>Крім того, Закон</w:t>
      </w:r>
      <w:r w:rsidR="0086053B">
        <w:rPr>
          <w:rFonts w:ascii="Times New Roman" w:hAnsi="Times New Roman"/>
          <w:sz w:val="28"/>
          <w:szCs w:val="28"/>
          <w:lang w:eastAsia="uk-UA"/>
        </w:rPr>
        <w:t>ом встановлений обов’язок СПФМ</w:t>
      </w:r>
      <w:r w:rsidRPr="008428C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6053B">
        <w:rPr>
          <w:rFonts w:ascii="Times New Roman" w:hAnsi="Times New Roman"/>
          <w:color w:val="000000"/>
          <w:sz w:val="28"/>
          <w:szCs w:val="28"/>
          <w:lang w:eastAsia="uk-UA"/>
        </w:rPr>
        <w:t>звітувати</w:t>
      </w:r>
      <w:r w:rsidRPr="008428C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</w:t>
      </w:r>
      <w:r w:rsidR="0086053B"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86053B" w:rsidRDefault="008428C0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428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розбіжності між відомостями про кінцевих </w:t>
      </w:r>
      <w:r w:rsidRP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бенефіціарних власників</w:t>
      </w:r>
      <w:r w:rsidR="0086053B" w:rsidRP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(</w:t>
      </w:r>
      <w:r w:rsidR="009721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далі - </w:t>
      </w:r>
      <w:r w:rsidR="0086053B" w:rsidRP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КБВ)</w:t>
      </w:r>
      <w:r w:rsidRP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клієнта, які містяться в Єдиному державному реєстрі юридичних</w:t>
      </w:r>
      <w:r w:rsidRPr="008428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осіб, фізичних осіб - підприємців та громадських формувань, та інформацією про </w:t>
      </w:r>
      <w:r w:rsid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КБВ, </w:t>
      </w:r>
      <w:r w:rsidR="004246C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яка отримана</w:t>
      </w:r>
      <w:r w:rsidRPr="008428C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СПФМ в результаті здійснення належної перевірки клієнта; </w:t>
      </w:r>
    </w:p>
    <w:p w:rsidR="0086053B" w:rsidRPr="000E1E88" w:rsidRDefault="008428C0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0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відмову від встановлення </w:t>
      </w:r>
      <w:r w:rsidR="0086053B" w:rsidRPr="000E1E88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(підтримання) ділових відносин/проведення фінансової операції;</w:t>
      </w:r>
    </w:p>
    <w:p w:rsidR="00647824" w:rsidRDefault="00EC3D45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Таким чином, до </w:t>
      </w:r>
      <w:r w:rsidR="001B1F29" w:rsidRPr="00C20E02">
        <w:rPr>
          <w:rFonts w:ascii="Times New Roman" w:eastAsia="Times New Roman" w:hAnsi="Times New Roman"/>
          <w:sz w:val="28"/>
          <w:szCs w:val="28"/>
          <w:lang w:eastAsia="uk-UA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йняття </w:t>
      </w:r>
      <w:r w:rsidR="00B83990"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та набрання чинності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нови</w:t>
      </w:r>
      <w:r w:rsidR="00B83990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83990"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підзаконними </w:t>
      </w:r>
      <w:r w:rsidRPr="00C20E02">
        <w:rPr>
          <w:rFonts w:ascii="Times New Roman" w:eastAsia="Times New Roman" w:hAnsi="Times New Roman"/>
          <w:sz w:val="28"/>
          <w:szCs w:val="28"/>
          <w:lang w:eastAsia="uk-UA"/>
        </w:rPr>
        <w:t>нормативно-правови</w:t>
      </w:r>
      <w:r w:rsidR="00B83990">
        <w:rPr>
          <w:rFonts w:ascii="Times New Roman" w:eastAsia="Times New Roman" w:hAnsi="Times New Roman"/>
          <w:sz w:val="28"/>
          <w:szCs w:val="28"/>
          <w:lang w:eastAsia="uk-UA"/>
        </w:rPr>
        <w:t>ми</w:t>
      </w:r>
      <w:r w:rsidRPr="007A7EB5">
        <w:rPr>
          <w:rFonts w:ascii="Times New Roman" w:eastAsia="Times New Roman" w:hAnsi="Times New Roman"/>
          <w:sz w:val="28"/>
          <w:szCs w:val="28"/>
          <w:lang w:eastAsia="uk-UA"/>
        </w:rPr>
        <w:t xml:space="preserve"> акт</w:t>
      </w:r>
      <w:r w:rsidR="00B83990">
        <w:rPr>
          <w:rFonts w:ascii="Times New Roman" w:eastAsia="Times New Roman" w:hAnsi="Times New Roman"/>
          <w:sz w:val="28"/>
          <w:szCs w:val="28"/>
          <w:lang w:eastAsia="uk-UA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r w:rsidR="00AB2269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рекомендуємо </w:t>
      </w:r>
      <w:r w:rsidR="00B83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небанківським фінансовим установам та спеціально визначеним СПФМ </w:t>
      </w:r>
      <w:r w:rsidR="006963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подавати </w:t>
      </w:r>
      <w:r w:rsidR="00C6264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Держфінмоніторингу </w:t>
      </w:r>
      <w:r w:rsidR="007A6259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інформацію</w:t>
      </w:r>
      <w:r w:rsidR="007C79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що може бути пов</w:t>
      </w:r>
      <w:r w:rsidR="007C7917" w:rsidRPr="007C79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 w:rsidR="007C79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язана з проведенням фінансового моніторингу</w:t>
      </w:r>
      <w:r w:rsidR="007946C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відповідно до вимог чинного законодавства з</w:t>
      </w:r>
      <w:r w:rsidR="0069638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питань фінансового моніторингу</w:t>
      </w:r>
      <w:r w:rsidR="00B8399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а саме:</w:t>
      </w:r>
    </w:p>
    <w:p w:rsidR="0010024C" w:rsidRDefault="00981857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Pr="0083373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3373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подання інформації для взяття на облік (зняття з обліку) </w:t>
      </w:r>
      <w:r w:rsidRPr="0086053B">
        <w:rPr>
          <w:rFonts w:ascii="Times New Roman" w:eastAsia="Times New Roman" w:hAnsi="Times New Roman"/>
          <w:sz w:val="28"/>
          <w:szCs w:val="28"/>
          <w:lang w:eastAsia="ru-RU"/>
        </w:rPr>
        <w:t>суб’єктів первинного фінансового моніторингу, виявлення та реєстрації, а також подання суб’єктами первинного фінансового моніторингу інформації про фінансові операції, що підлягають фінансовому моніторингу, іншої інформації, що може бути пов’язана з легалізацією</w:t>
      </w:r>
      <w:r w:rsidRPr="00833731">
        <w:rPr>
          <w:rFonts w:ascii="Times New Roman" w:eastAsia="Times New Roman" w:hAnsi="Times New Roman"/>
          <w:sz w:val="28"/>
          <w:szCs w:val="28"/>
          <w:lang w:eastAsia="ru-RU"/>
        </w:rPr>
        <w:t xml:space="preserve"> (відмиванням) доходів, одержаних злочинним шляхом, або </w:t>
      </w:r>
      <w:r w:rsidRPr="007A6259">
        <w:rPr>
          <w:rFonts w:ascii="Times New Roman" w:eastAsia="Times New Roman" w:hAnsi="Times New Roman"/>
          <w:sz w:val="28"/>
          <w:szCs w:val="28"/>
          <w:lang w:eastAsia="ru-RU"/>
        </w:rPr>
        <w:t>фінансуванням тероризму</w:t>
      </w:r>
      <w:r w:rsidRPr="00833731">
        <w:rPr>
          <w:rFonts w:ascii="Times New Roman" w:eastAsia="Times New Roman" w:hAnsi="Times New Roman"/>
          <w:sz w:val="28"/>
          <w:szCs w:val="28"/>
          <w:lang w:eastAsia="ru-RU"/>
        </w:rPr>
        <w:t xml:space="preserve"> чи фінансуванням розповсюдження зброї масо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 знищення, затвердженого постановою</w:t>
      </w:r>
      <w:r w:rsidRPr="00833731">
        <w:rPr>
          <w:rFonts w:ascii="Times New Roman" w:eastAsia="Times New Roman" w:hAnsi="Times New Roman"/>
          <w:sz w:val="28"/>
          <w:szCs w:val="28"/>
          <w:lang w:eastAsia="ru-RU"/>
        </w:rPr>
        <w:t xml:space="preserve"> Кабінету Міністрів України від 05.08.2015 № 552</w:t>
      </w:r>
      <w:r w:rsidR="001002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255D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0024C" w:rsidRDefault="00981857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Порядку електронної взаємодії </w:t>
      </w:r>
      <w:r w:rsidRP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суб’єктів первинного фінансового моніторингу та Державної служби фінансового моніторингу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України, затвердженого наказом</w:t>
      </w:r>
      <w:r w:rsidR="00255D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Міністерства фінансі</w:t>
      </w:r>
      <w:r w:rsidR="0086053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 України від 24.11.2015 № 1085</w:t>
      </w:r>
      <w:r w:rsidR="001002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;</w:t>
      </w:r>
      <w:r w:rsidR="00255D3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E77467" w:rsidRPr="00506E1B" w:rsidRDefault="004743A8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наказу</w:t>
      </w:r>
      <w:r w:rsidR="002A1E83" w:rsidRPr="007A6D1E">
        <w:rPr>
          <w:rFonts w:ascii="Times New Roman" w:hAnsi="Times New Roman"/>
          <w:sz w:val="28"/>
          <w:szCs w:val="28"/>
        </w:rPr>
        <w:t xml:space="preserve"> Міністерства фінансів України від 29.01.2016 № 24 «Про затвердження форм обліку та подання інформації, пов’язаної із здійсненням фінансового моніторингу, та</w:t>
      </w:r>
      <w:r w:rsidR="0086053B">
        <w:rPr>
          <w:rFonts w:ascii="Times New Roman" w:hAnsi="Times New Roman"/>
          <w:sz w:val="28"/>
          <w:szCs w:val="28"/>
        </w:rPr>
        <w:t xml:space="preserve"> інструкції щодо їх заповнення»</w:t>
      </w:r>
      <w:r w:rsidR="002A1E83" w:rsidRPr="007A6D1E">
        <w:rPr>
          <w:rFonts w:ascii="Times New Roman" w:hAnsi="Times New Roman"/>
          <w:sz w:val="28"/>
          <w:szCs w:val="28"/>
        </w:rPr>
        <w:t xml:space="preserve"> (далі-Інструкція).</w:t>
      </w:r>
    </w:p>
    <w:p w:rsidR="00CC4C0D" w:rsidRDefault="00C9053B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Також</w:t>
      </w:r>
      <w:r w:rsidR="004F7F55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7702F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рекомендуємо СПФМ </w:t>
      </w:r>
      <w:r w:rsidR="0010024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по</w:t>
      </w:r>
      <w:r w:rsidR="00CC4C0D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давати </w:t>
      </w:r>
      <w:r w:rsidR="00CC4C0D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до Держфінмоніторингу </w:t>
      </w:r>
      <w:r w:rsidR="00E77A6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інформацію, що може бути пов</w:t>
      </w:r>
      <w:r w:rsidR="00E77A6C" w:rsidRPr="007C791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’</w:t>
      </w:r>
      <w:r w:rsidR="00E77A6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язана з проведенням </w:t>
      </w:r>
      <w:r w:rsidR="00E77A6C"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фінансового моніторингу</w:t>
      </w:r>
      <w:r w:rsidR="00BB0094" w:rsidRPr="00C20E0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</w:t>
      </w:r>
      <w:r w:rsidR="00E77A6C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</w:t>
      </w:r>
      <w:r w:rsidR="00CC4C0D" w:rsidRPr="007A6D1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використанням </w:t>
      </w:r>
      <w:r w:rsidR="00CC4C0D" w:rsidRPr="007A6D1E">
        <w:rPr>
          <w:rFonts w:ascii="Times New Roman" w:hAnsi="Times New Roman"/>
          <w:sz w:val="28"/>
          <w:szCs w:val="28"/>
        </w:rPr>
        <w:t>форми № 2</w:t>
      </w:r>
      <w:r w:rsidR="00F64E27" w:rsidRPr="007A6D1E">
        <w:rPr>
          <w:rFonts w:ascii="Times New Roman" w:hAnsi="Times New Roman"/>
          <w:sz w:val="28"/>
          <w:szCs w:val="28"/>
        </w:rPr>
        <w:t>–</w:t>
      </w:r>
      <w:r w:rsidR="00CC4C0D" w:rsidRPr="007A6D1E">
        <w:rPr>
          <w:rFonts w:ascii="Times New Roman" w:hAnsi="Times New Roman"/>
          <w:sz w:val="28"/>
          <w:szCs w:val="28"/>
        </w:rPr>
        <w:t xml:space="preserve">ФМ «Реєстр фінансових операцій, що підлягають </w:t>
      </w:r>
      <w:r w:rsidR="00E54D01">
        <w:rPr>
          <w:rFonts w:ascii="Times New Roman" w:hAnsi="Times New Roman"/>
          <w:sz w:val="28"/>
          <w:szCs w:val="28"/>
        </w:rPr>
        <w:t>фінансовому моніторингу» (далі</w:t>
      </w:r>
      <w:r w:rsidR="00CC4C0D" w:rsidRPr="007A6D1E">
        <w:rPr>
          <w:rFonts w:ascii="Times New Roman" w:hAnsi="Times New Roman"/>
          <w:sz w:val="28"/>
          <w:szCs w:val="28"/>
        </w:rPr>
        <w:t xml:space="preserve"> форма № 2</w:t>
      </w:r>
      <w:r w:rsidR="00F64E27">
        <w:rPr>
          <w:rFonts w:ascii="Times New Roman" w:hAnsi="Times New Roman"/>
          <w:sz w:val="28"/>
          <w:szCs w:val="28"/>
        </w:rPr>
        <w:t xml:space="preserve"> </w:t>
      </w:r>
      <w:r w:rsidR="00F64E27" w:rsidRPr="007A6D1E">
        <w:rPr>
          <w:rFonts w:ascii="Times New Roman" w:hAnsi="Times New Roman"/>
          <w:sz w:val="28"/>
          <w:szCs w:val="28"/>
        </w:rPr>
        <w:t>–</w:t>
      </w:r>
      <w:r w:rsidR="00F64E27">
        <w:rPr>
          <w:rFonts w:ascii="Times New Roman" w:hAnsi="Times New Roman"/>
          <w:sz w:val="28"/>
          <w:szCs w:val="28"/>
        </w:rPr>
        <w:t xml:space="preserve"> </w:t>
      </w:r>
      <w:r w:rsidR="00CC4C0D" w:rsidRPr="007A6D1E">
        <w:rPr>
          <w:rFonts w:ascii="Times New Roman" w:hAnsi="Times New Roman"/>
          <w:sz w:val="28"/>
          <w:szCs w:val="28"/>
        </w:rPr>
        <w:t xml:space="preserve">ФМ) та форми </w:t>
      </w:r>
      <w:r>
        <w:rPr>
          <w:rFonts w:ascii="Times New Roman" w:hAnsi="Times New Roman"/>
          <w:sz w:val="28"/>
          <w:szCs w:val="28"/>
        </w:rPr>
        <w:t xml:space="preserve">           № 4–</w:t>
      </w:r>
      <w:r w:rsidR="00CC4C0D" w:rsidRPr="007A6D1E">
        <w:rPr>
          <w:rFonts w:ascii="Times New Roman" w:hAnsi="Times New Roman"/>
          <w:sz w:val="28"/>
          <w:szCs w:val="28"/>
        </w:rPr>
        <w:t>ФМ «Повідомлення про фінансові операції, що підлягають фінансово</w:t>
      </w:r>
      <w:r w:rsidR="00E54D01">
        <w:rPr>
          <w:rFonts w:ascii="Times New Roman" w:hAnsi="Times New Roman"/>
          <w:sz w:val="28"/>
          <w:szCs w:val="28"/>
        </w:rPr>
        <w:t xml:space="preserve">му моніторингу» (далі – форма </w:t>
      </w:r>
      <w:r w:rsidR="00CC4C0D" w:rsidRPr="007A6D1E">
        <w:rPr>
          <w:rFonts w:ascii="Times New Roman" w:hAnsi="Times New Roman"/>
          <w:sz w:val="28"/>
          <w:szCs w:val="28"/>
        </w:rPr>
        <w:t>№ 4</w:t>
      </w:r>
      <w:r w:rsidR="00F64E27">
        <w:rPr>
          <w:rFonts w:ascii="Times New Roman" w:hAnsi="Times New Roman"/>
          <w:sz w:val="28"/>
          <w:szCs w:val="28"/>
        </w:rPr>
        <w:t xml:space="preserve"> </w:t>
      </w:r>
      <w:r w:rsidR="00F64E27" w:rsidRPr="007A6D1E">
        <w:rPr>
          <w:rFonts w:ascii="Times New Roman" w:hAnsi="Times New Roman"/>
          <w:sz w:val="28"/>
          <w:szCs w:val="28"/>
        </w:rPr>
        <w:t>–</w:t>
      </w:r>
      <w:r w:rsidR="00F64E27">
        <w:rPr>
          <w:rFonts w:ascii="Times New Roman" w:hAnsi="Times New Roman"/>
          <w:sz w:val="28"/>
          <w:szCs w:val="28"/>
        </w:rPr>
        <w:t xml:space="preserve"> </w:t>
      </w:r>
      <w:r w:rsidR="00CC4C0D" w:rsidRPr="007A6D1E">
        <w:rPr>
          <w:rFonts w:ascii="Times New Roman" w:hAnsi="Times New Roman"/>
          <w:sz w:val="28"/>
          <w:szCs w:val="28"/>
        </w:rPr>
        <w:t>ФМ),</w:t>
      </w:r>
      <w:r w:rsidR="00CC4C0D">
        <w:rPr>
          <w:rFonts w:ascii="Times New Roman" w:hAnsi="Times New Roman"/>
          <w:sz w:val="28"/>
          <w:szCs w:val="28"/>
        </w:rPr>
        <w:t xml:space="preserve"> відповідно до Інструкції.</w:t>
      </w:r>
    </w:p>
    <w:p w:rsidR="00CC4C0D" w:rsidRDefault="00C9053B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Разом з тим,</w:t>
      </w:r>
      <w:r w:rsidR="00CC4C0D" w:rsidRPr="007A6D1E">
        <w:rPr>
          <w:rFonts w:ascii="Times New Roman" w:hAnsi="Times New Roman"/>
          <w:sz w:val="28"/>
          <w:szCs w:val="28"/>
        </w:rPr>
        <w:t xml:space="preserve"> звертаємо увагу, що при поданні інформації про фінансові операції, що підлягають фінансовому моніторингу, спеціально визначеними СПФМ (за винятком суб’єктів господарювання, які проводять лотереї та </w:t>
      </w:r>
      <w:r w:rsidR="00CC4C0D" w:rsidRPr="007A6D1E">
        <w:rPr>
          <w:rFonts w:ascii="Times New Roman" w:hAnsi="Times New Roman"/>
          <w:sz w:val="28"/>
          <w:szCs w:val="28"/>
        </w:rPr>
        <w:lastRenderedPageBreak/>
        <w:t>азартні ігри, у тому числі казино, електронне (віртуальне) казино) та СПФМ, які провадять свою діяльність одноособово, без утворення юридичної особи, форма № 4</w:t>
      </w:r>
      <w:r w:rsidR="008D6995">
        <w:rPr>
          <w:rFonts w:ascii="Times New Roman" w:hAnsi="Times New Roman"/>
          <w:sz w:val="28"/>
          <w:szCs w:val="28"/>
        </w:rPr>
        <w:t xml:space="preserve"> </w:t>
      </w:r>
      <w:r w:rsidR="008D6995" w:rsidRPr="007A6D1E">
        <w:rPr>
          <w:rFonts w:ascii="Times New Roman" w:hAnsi="Times New Roman"/>
          <w:sz w:val="28"/>
          <w:szCs w:val="28"/>
        </w:rPr>
        <w:t>–</w:t>
      </w:r>
      <w:r w:rsidR="008D6995">
        <w:rPr>
          <w:rFonts w:ascii="Times New Roman" w:hAnsi="Times New Roman"/>
          <w:sz w:val="28"/>
          <w:szCs w:val="28"/>
        </w:rPr>
        <w:t xml:space="preserve"> </w:t>
      </w:r>
      <w:r w:rsidR="00CC4C0D" w:rsidRPr="007A6D1E">
        <w:rPr>
          <w:rFonts w:ascii="Times New Roman" w:hAnsi="Times New Roman"/>
          <w:sz w:val="28"/>
          <w:szCs w:val="28"/>
        </w:rPr>
        <w:t>ФМ не подається.</w:t>
      </w:r>
    </w:p>
    <w:p w:rsidR="00FD6990" w:rsidRDefault="00FD6990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824" w:rsidRPr="004F7509" w:rsidRDefault="00647824" w:rsidP="004F7509">
      <w:pPr>
        <w:widowControl w:val="0"/>
        <w:shd w:val="clear" w:color="auto" w:fill="BDD6EE" w:themeFill="accent1" w:themeFillTint="66"/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6990">
        <w:rPr>
          <w:rFonts w:ascii="Times New Roman" w:hAnsi="Times New Roman"/>
          <w:b/>
          <w:i/>
          <w:sz w:val="28"/>
          <w:szCs w:val="28"/>
        </w:rPr>
        <w:t xml:space="preserve">Щодо подання </w:t>
      </w:r>
      <w:r w:rsidR="00A219AA" w:rsidRPr="00FD6990">
        <w:rPr>
          <w:rFonts w:ascii="Times New Roman" w:hAnsi="Times New Roman"/>
          <w:b/>
          <w:i/>
          <w:sz w:val="28"/>
          <w:szCs w:val="28"/>
        </w:rPr>
        <w:t>інформації про порогові</w:t>
      </w:r>
      <w:r w:rsidRPr="00FD69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05E0" w:rsidRPr="00FD6990">
        <w:rPr>
          <w:rFonts w:ascii="Times New Roman" w:hAnsi="Times New Roman"/>
          <w:b/>
          <w:i/>
          <w:sz w:val="28"/>
          <w:szCs w:val="28"/>
        </w:rPr>
        <w:t xml:space="preserve">фінансові </w:t>
      </w:r>
      <w:r w:rsidRPr="00FD6990">
        <w:rPr>
          <w:rFonts w:ascii="Times New Roman" w:hAnsi="Times New Roman"/>
          <w:b/>
          <w:i/>
          <w:sz w:val="28"/>
          <w:szCs w:val="28"/>
        </w:rPr>
        <w:t>операцій</w:t>
      </w:r>
      <w:r w:rsidRPr="004F75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20B6B" w:rsidRDefault="003E4D25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подання інформації про</w:t>
      </w:r>
      <w:r w:rsidR="00220B6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орогові фінансові</w:t>
      </w:r>
      <w:r w:rsidR="00220B6B">
        <w:rPr>
          <w:rFonts w:ascii="Times New Roman" w:hAnsi="Times New Roman"/>
          <w:sz w:val="28"/>
          <w:szCs w:val="28"/>
        </w:rPr>
        <w:t xml:space="preserve"> оп</w:t>
      </w:r>
      <w:r>
        <w:rPr>
          <w:rFonts w:ascii="Times New Roman" w:hAnsi="Times New Roman"/>
          <w:sz w:val="28"/>
          <w:szCs w:val="28"/>
        </w:rPr>
        <w:t xml:space="preserve">ерації рекомендуємо СПФМ </w:t>
      </w:r>
      <w:r w:rsidR="00485CC3">
        <w:rPr>
          <w:rFonts w:ascii="Times New Roman" w:hAnsi="Times New Roman"/>
          <w:sz w:val="28"/>
          <w:szCs w:val="28"/>
        </w:rPr>
        <w:t xml:space="preserve">при заповненні форми № 2-ФМ у полі 610 «Ознаки фінансової операції, що підлягає обов’язковому фінансовому моніторингу (код)», зазначати код порогової фінансової операції відповідно до додатку 2 до Інструкції «Довідник кодів ознак фінансових операцій за результатами обов’язкового фінансового моніторингу», </w:t>
      </w:r>
      <w:r w:rsidR="00220B6B">
        <w:rPr>
          <w:rFonts w:ascii="Times New Roman" w:hAnsi="Times New Roman"/>
          <w:sz w:val="28"/>
          <w:szCs w:val="28"/>
        </w:rPr>
        <w:t>а саме:</w:t>
      </w:r>
    </w:p>
    <w:p w:rsidR="008428C0" w:rsidRDefault="00C9053B" w:rsidP="00C9053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1. З</w:t>
      </w:r>
      <w:r w:rsidR="008428C0" w:rsidRPr="008428C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арахування або переказ коштів, надання або отримання кредиту (позики), здійснення інших фінансових операцій у разі, якщо хоча б одна із сторін - учасників фінансової операції має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</w:t>
      </w:r>
      <w:r w:rsidR="008428C0" w:rsidRPr="007A6259">
        <w:rPr>
          <w:rFonts w:ascii="Times New Roman" w:eastAsia="Times New Roman" w:hAnsi="Times New Roman"/>
          <w:b/>
          <w:sz w:val="28"/>
          <w:szCs w:val="28"/>
          <w:lang w:eastAsia="uk-UA"/>
        </w:rPr>
        <w:t>фінансуванням тероризму</w:t>
      </w:r>
      <w:r w:rsidR="008428C0" w:rsidRPr="008428C0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чи фінансуванням розповсюдження зброї масового знищення (в тому числі дипломатичне представництво, посольство, консульство такої іноземної держави), або однією із сторін - учасників фінансової операції є особа, яка має рахунок у банку, зареєстрованому в зазначеній державі (юрисдикції) - 3051;</w:t>
      </w:r>
      <w:r w:rsidR="00B84397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B6356C">
        <w:rPr>
          <w:rFonts w:ascii="Times New Roman" w:eastAsia="Times New Roman" w:hAnsi="Times New Roman"/>
          <w:b/>
          <w:sz w:val="28"/>
          <w:szCs w:val="28"/>
          <w:lang w:eastAsia="uk-UA"/>
        </w:rPr>
        <w:t>3052:</w:t>
      </w:r>
    </w:p>
    <w:p w:rsidR="00B6356C" w:rsidRPr="00FD565A" w:rsidRDefault="00B6356C" w:rsidP="00933AB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D565A">
        <w:rPr>
          <w:rFonts w:ascii="Times New Roman" w:eastAsia="Times New Roman" w:hAnsi="Times New Roman"/>
          <w:sz w:val="28"/>
          <w:szCs w:val="28"/>
        </w:rPr>
        <w:t>зарахування або переказ коштів, надання або отримання кредиту (позики), здійснення інших фінансових операцій у разі, якщо хоча б одна із сторін - учасників фінансової операції має відповідну реєстрацію, місце проживання чи місцезнаходження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(в тому числі дипломатичне представництво, посольство, консульство такої іноземної держави) – 3051;</w:t>
      </w:r>
    </w:p>
    <w:p w:rsidR="00B6356C" w:rsidRPr="00FD565A" w:rsidRDefault="00B6356C" w:rsidP="00933AB2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FD565A">
        <w:rPr>
          <w:rFonts w:ascii="Times New Roman" w:eastAsia="Times New Roman" w:hAnsi="Times New Roman"/>
          <w:sz w:val="28"/>
          <w:szCs w:val="28"/>
        </w:rPr>
        <w:t>зарахування або переказ коштів, надання або отримання кредиту (позики), здійснення інших фінансових операцій у разі, якщо однією із сторін - учасників фінансової операції є особа, яка має рахунок у банку, зареєстрованому в державі (юрисдикції), що не виконує чи неналежним чином виконує рекомендації міжнародних, міжурядових організацій, задіяних у сфері боротьби з легалізацією (відмиванням) доходів, одержаних злочинним шляхом, фінансуванням тероризму чи фінансуванням розповсюдження зброї масового знищення (в тому числі дипломатичне представництво, посольство, консульство такої іноземної держави) – 3052.</w:t>
      </w:r>
    </w:p>
    <w:p w:rsidR="00B6356C" w:rsidRDefault="00B6356C" w:rsidP="00C9053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1E0FD0" w:rsidRDefault="001E0FD0" w:rsidP="001E0FD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n587"/>
      <w:bookmarkEnd w:id="0"/>
      <w:r>
        <w:rPr>
          <w:rFonts w:ascii="Times New Roman" w:eastAsia="Times New Roman" w:hAnsi="Times New Roman"/>
          <w:b/>
          <w:sz w:val="28"/>
          <w:szCs w:val="28"/>
        </w:rPr>
        <w:lastRenderedPageBreak/>
        <w:t>2. Фінансові операції політично значущих осіб, членів їх сім’ї та/або осіб, пов’язаних з політично значущими особами –5601, 5602, 5603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E0FD0" w:rsidRDefault="001E0FD0" w:rsidP="001E0FD0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цьому рекомендовано зазначати наступну інформацію:</w:t>
      </w:r>
    </w:p>
    <w:p w:rsidR="001E0FD0" w:rsidRPr="0003486B" w:rsidRDefault="001E0FD0" w:rsidP="001E0FD0">
      <w:pPr>
        <w:pStyle w:val="aa"/>
        <w:widowControl w:val="0"/>
        <w:numPr>
          <w:ilvl w:val="0"/>
          <w:numId w:val="20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486B">
        <w:rPr>
          <w:rFonts w:ascii="Times New Roman" w:eastAsia="Times New Roman" w:hAnsi="Times New Roman"/>
          <w:sz w:val="28"/>
          <w:szCs w:val="28"/>
        </w:rPr>
        <w:t xml:space="preserve">код </w:t>
      </w:r>
      <w:r>
        <w:rPr>
          <w:rFonts w:ascii="Times New Roman" w:eastAsia="Times New Roman" w:hAnsi="Times New Roman"/>
          <w:b/>
          <w:sz w:val="28"/>
          <w:szCs w:val="28"/>
        </w:rPr>
        <w:t>5601</w:t>
      </w:r>
      <w:r w:rsidRPr="0003486B">
        <w:rPr>
          <w:rFonts w:ascii="Times New Roman" w:eastAsia="Times New Roman" w:hAnsi="Times New Roman"/>
          <w:sz w:val="28"/>
          <w:szCs w:val="28"/>
        </w:rPr>
        <w:t>, якщо клієнт є політично значуща особа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03486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0FD0" w:rsidRDefault="001E0FD0" w:rsidP="001E0FD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28"/>
          <w:szCs w:val="28"/>
        </w:rPr>
      </w:pPr>
      <w:r w:rsidRPr="006F10A8">
        <w:rPr>
          <w:rFonts w:ascii="Times New Roman" w:eastAsia="Times New Roman" w:hAnsi="Times New Roman"/>
          <w:color w:val="000000"/>
          <w:sz w:val="28"/>
          <w:szCs w:val="28"/>
        </w:rPr>
        <w:t xml:space="preserve">код </w:t>
      </w:r>
      <w:r>
        <w:rPr>
          <w:rFonts w:ascii="Times New Roman" w:eastAsia="Times New Roman" w:hAnsi="Times New Roman"/>
          <w:b/>
          <w:sz w:val="28"/>
          <w:szCs w:val="28"/>
        </w:rPr>
        <w:t>5602</w:t>
      </w:r>
      <w:r w:rsidRPr="006F10A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якщо клієнт є членом сім’ї політично значущої особи;</w:t>
      </w:r>
    </w:p>
    <w:p w:rsidR="001E0FD0" w:rsidRDefault="001E0FD0" w:rsidP="001E0FD0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9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F10A8">
        <w:rPr>
          <w:rFonts w:ascii="Times New Roman" w:eastAsia="Times New Roman" w:hAnsi="Times New Roman"/>
          <w:color w:val="000000"/>
          <w:sz w:val="28"/>
          <w:szCs w:val="28"/>
        </w:rPr>
        <w:t xml:space="preserve">код </w:t>
      </w:r>
      <w:r>
        <w:rPr>
          <w:rFonts w:ascii="Times New Roman" w:eastAsia="Times New Roman" w:hAnsi="Times New Roman"/>
          <w:b/>
          <w:sz w:val="28"/>
          <w:szCs w:val="28"/>
        </w:rPr>
        <w:t>5603</w:t>
      </w:r>
      <w:r w:rsidRPr="006F10A8">
        <w:rPr>
          <w:rFonts w:ascii="Times New Roman" w:eastAsia="Times New Roman" w:hAnsi="Times New Roman"/>
          <w:color w:val="000000"/>
          <w:sz w:val="28"/>
          <w:szCs w:val="28"/>
        </w:rPr>
        <w:t>, якщо клієнт є особою, пов’язаною з політично значущою особою</w:t>
      </w:r>
      <w:bookmarkStart w:id="1" w:name="1fob9te" w:colFirst="0" w:colLast="0"/>
      <w:bookmarkEnd w:id="1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76117" w:rsidRPr="0000044D" w:rsidRDefault="00876117" w:rsidP="0000044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044D">
        <w:rPr>
          <w:rFonts w:ascii="Times New Roman" w:eastAsia="Times New Roman" w:hAnsi="Times New Roman"/>
          <w:b/>
          <w:sz w:val="28"/>
          <w:szCs w:val="28"/>
        </w:rPr>
        <w:t xml:space="preserve">3. Фінансові операції із переказу коштів за кордон (в тому числі до держав, віднесених Кабінетом Міністрів України до офшорних зон) - 2030; 4070. </w:t>
      </w:r>
      <w:r w:rsidRPr="0000044D">
        <w:rPr>
          <w:rFonts w:ascii="Times New Roman" w:eastAsia="Times New Roman" w:hAnsi="Times New Roman"/>
          <w:color w:val="000000"/>
          <w:sz w:val="28"/>
          <w:szCs w:val="28"/>
        </w:rPr>
        <w:t xml:space="preserve">Код ознаки 4070 рекомендується використовувати для всіх переказів коштів за кордон, крім </w:t>
      </w:r>
      <w:bookmarkStart w:id="2" w:name="3znysh7" w:colFirst="0" w:colLast="0"/>
      <w:bookmarkEnd w:id="2"/>
      <w:r w:rsidRPr="0000044D">
        <w:rPr>
          <w:rFonts w:ascii="Times New Roman" w:eastAsia="Times New Roman" w:hAnsi="Times New Roman"/>
          <w:color w:val="000000"/>
          <w:sz w:val="28"/>
          <w:szCs w:val="28"/>
        </w:rPr>
        <w:t>переказу коштів, коли використовується код ознаки 2030.</w:t>
      </w:r>
    </w:p>
    <w:p w:rsidR="00876117" w:rsidRPr="00876117" w:rsidRDefault="00876117" w:rsidP="0000044D">
      <w:pPr>
        <w:pStyle w:val="a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6117">
        <w:rPr>
          <w:rFonts w:ascii="Times New Roman" w:eastAsia="Times New Roman" w:hAnsi="Times New Roman"/>
          <w:color w:val="000000"/>
          <w:sz w:val="28"/>
          <w:szCs w:val="28"/>
        </w:rPr>
        <w:t>Код ознаки 2030 рекомендується використовувати для переказів коштів у разі, якщо хоча б одна із сторін - учасників фінансової операції має відповідну реєстрацію, місце проживання чи місцезнаходження в державі, що віднесена Кабінетом Міністрів України до переліку офшорних зон, та/або у разі переказу коштів на рахунок, відкритий у фінансовій установі, зареєстрованій у державі, що віднесена Кабінетом Міністрів України до переліку офшорних зон</w:t>
      </w:r>
      <w:r w:rsidRPr="00876117">
        <w:rPr>
          <w:rFonts w:ascii="Times New Roman" w:eastAsia="Times New Roman" w:hAnsi="Times New Roman"/>
          <w:sz w:val="28"/>
          <w:szCs w:val="28"/>
        </w:rPr>
        <w:t>.</w:t>
      </w:r>
    </w:p>
    <w:p w:rsidR="002E6921" w:rsidRDefault="002E6921" w:rsidP="002E6921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 Фінансові операції з готівкою (внесення, переказ, отримання коштів) – 1033; 1034; 1035.</w:t>
      </w:r>
    </w:p>
    <w:p w:rsidR="00894A4E" w:rsidRPr="003D7B63" w:rsidRDefault="00894A4E" w:rsidP="00C9053B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220B6B" w:rsidRPr="00FB05E0" w:rsidRDefault="00647824" w:rsidP="00FB05E0">
      <w:pPr>
        <w:widowControl w:val="0"/>
        <w:shd w:val="clear" w:color="auto" w:fill="BDD6EE" w:themeFill="accent1" w:themeFillTint="66"/>
        <w:spacing w:before="120" w:after="12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05E0">
        <w:rPr>
          <w:rFonts w:ascii="Times New Roman" w:hAnsi="Times New Roman"/>
          <w:b/>
          <w:i/>
          <w:sz w:val="28"/>
          <w:szCs w:val="28"/>
        </w:rPr>
        <w:t xml:space="preserve">Щодо подання </w:t>
      </w:r>
      <w:r w:rsidR="00A219AA" w:rsidRPr="00FB05E0">
        <w:rPr>
          <w:rFonts w:ascii="Times New Roman" w:hAnsi="Times New Roman"/>
          <w:b/>
          <w:i/>
          <w:sz w:val="28"/>
          <w:szCs w:val="28"/>
        </w:rPr>
        <w:t xml:space="preserve">інформації підозрілі </w:t>
      </w:r>
      <w:r w:rsidR="00FB05E0" w:rsidRPr="00FB05E0">
        <w:rPr>
          <w:rFonts w:ascii="Times New Roman" w:hAnsi="Times New Roman"/>
          <w:b/>
          <w:i/>
          <w:sz w:val="28"/>
          <w:szCs w:val="28"/>
        </w:rPr>
        <w:t xml:space="preserve">фінансові </w:t>
      </w:r>
      <w:r w:rsidR="00A219AA" w:rsidRPr="00FB05E0">
        <w:rPr>
          <w:rFonts w:ascii="Times New Roman" w:hAnsi="Times New Roman"/>
          <w:b/>
          <w:i/>
          <w:sz w:val="28"/>
          <w:szCs w:val="28"/>
        </w:rPr>
        <w:t>операції (діяльність</w:t>
      </w:r>
      <w:r w:rsidRPr="00FB05E0">
        <w:rPr>
          <w:rFonts w:ascii="Times New Roman" w:hAnsi="Times New Roman"/>
          <w:b/>
          <w:i/>
          <w:sz w:val="28"/>
          <w:szCs w:val="28"/>
        </w:rPr>
        <w:t>)</w:t>
      </w:r>
    </w:p>
    <w:p w:rsidR="00485CC3" w:rsidRDefault="00235D49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D1E">
        <w:rPr>
          <w:rFonts w:ascii="Times New Roman" w:hAnsi="Times New Roman"/>
          <w:sz w:val="28"/>
          <w:szCs w:val="28"/>
        </w:rPr>
        <w:t xml:space="preserve">При поданні </w:t>
      </w:r>
      <w:r w:rsidR="0097169A" w:rsidRPr="007A6D1E">
        <w:rPr>
          <w:rFonts w:ascii="Times New Roman" w:hAnsi="Times New Roman"/>
          <w:sz w:val="28"/>
          <w:szCs w:val="28"/>
        </w:rPr>
        <w:t>СПФМ</w:t>
      </w:r>
      <w:r w:rsidR="00EB25D4" w:rsidRPr="007A6D1E">
        <w:rPr>
          <w:rFonts w:ascii="Times New Roman" w:hAnsi="Times New Roman"/>
          <w:sz w:val="28"/>
          <w:szCs w:val="28"/>
        </w:rPr>
        <w:t xml:space="preserve"> до </w:t>
      </w:r>
      <w:r w:rsidR="00886F49" w:rsidRPr="007A6D1E">
        <w:rPr>
          <w:rFonts w:ascii="Times New Roman" w:hAnsi="Times New Roman"/>
          <w:sz w:val="28"/>
          <w:szCs w:val="28"/>
        </w:rPr>
        <w:t>Держфінмоніторингу</w:t>
      </w:r>
      <w:r w:rsidR="00EB25D4" w:rsidRPr="007A6D1E">
        <w:rPr>
          <w:rFonts w:ascii="Times New Roman" w:hAnsi="Times New Roman"/>
          <w:sz w:val="28"/>
          <w:szCs w:val="28"/>
        </w:rPr>
        <w:t xml:space="preserve"> </w:t>
      </w:r>
      <w:r w:rsidR="00D22607">
        <w:rPr>
          <w:rFonts w:ascii="Times New Roman" w:hAnsi="Times New Roman"/>
          <w:sz w:val="28"/>
          <w:szCs w:val="28"/>
        </w:rPr>
        <w:t>інформації про підозрілу фінансову операцію</w:t>
      </w:r>
      <w:r w:rsidR="00E82825" w:rsidRPr="007A6D1E">
        <w:rPr>
          <w:rFonts w:ascii="Times New Roman" w:hAnsi="Times New Roman"/>
          <w:sz w:val="28"/>
          <w:szCs w:val="28"/>
        </w:rPr>
        <w:t>,</w:t>
      </w:r>
      <w:r w:rsidR="004743A8" w:rsidRPr="004743A8">
        <w:rPr>
          <w:rFonts w:ascii="Times New Roman" w:hAnsi="Times New Roman"/>
          <w:sz w:val="28"/>
          <w:szCs w:val="28"/>
        </w:rPr>
        <w:t xml:space="preserve"> </w:t>
      </w:r>
      <w:r w:rsidR="00485CC3">
        <w:rPr>
          <w:rFonts w:ascii="Times New Roman" w:hAnsi="Times New Roman"/>
          <w:sz w:val="28"/>
          <w:szCs w:val="28"/>
        </w:rPr>
        <w:t>рекомендуємо при заповненні форми</w:t>
      </w:r>
      <w:r w:rsidR="00E06C63">
        <w:rPr>
          <w:rFonts w:ascii="Times New Roman" w:hAnsi="Times New Roman"/>
          <w:sz w:val="28"/>
          <w:szCs w:val="28"/>
        </w:rPr>
        <w:t xml:space="preserve"> № 2-ФМ</w:t>
      </w:r>
      <w:r w:rsidR="00485CC3">
        <w:rPr>
          <w:rFonts w:ascii="Times New Roman" w:hAnsi="Times New Roman"/>
          <w:sz w:val="28"/>
          <w:szCs w:val="28"/>
        </w:rPr>
        <w:t xml:space="preserve"> у полі 630 «Ознаки фінансової операції, виявленої за результатами внутрішнього фінансового моніторингу (код)», зазнача</w:t>
      </w:r>
      <w:r w:rsidR="00E06C63">
        <w:rPr>
          <w:rFonts w:ascii="Times New Roman" w:hAnsi="Times New Roman"/>
          <w:sz w:val="28"/>
          <w:szCs w:val="28"/>
        </w:rPr>
        <w:t>ти</w:t>
      </w:r>
      <w:r w:rsidR="00485CC3">
        <w:rPr>
          <w:rFonts w:ascii="Times New Roman" w:hAnsi="Times New Roman"/>
          <w:sz w:val="28"/>
          <w:szCs w:val="28"/>
        </w:rPr>
        <w:t xml:space="preserve"> код підозрілої </w:t>
      </w:r>
      <w:r w:rsidR="00D22607">
        <w:rPr>
          <w:rFonts w:ascii="Times New Roman" w:hAnsi="Times New Roman"/>
          <w:sz w:val="28"/>
          <w:szCs w:val="28"/>
        </w:rPr>
        <w:t xml:space="preserve">фінансової </w:t>
      </w:r>
      <w:r w:rsidR="00C9053B">
        <w:rPr>
          <w:rFonts w:ascii="Times New Roman" w:hAnsi="Times New Roman"/>
          <w:sz w:val="28"/>
          <w:szCs w:val="28"/>
        </w:rPr>
        <w:t xml:space="preserve">             </w:t>
      </w:r>
      <w:r w:rsidR="00D22607">
        <w:rPr>
          <w:rFonts w:ascii="Times New Roman" w:hAnsi="Times New Roman"/>
          <w:sz w:val="28"/>
          <w:szCs w:val="28"/>
        </w:rPr>
        <w:t xml:space="preserve">операції - </w:t>
      </w:r>
      <w:r w:rsidR="00D22607" w:rsidRPr="00D22607">
        <w:rPr>
          <w:rFonts w:ascii="Times New Roman" w:hAnsi="Times New Roman"/>
          <w:b/>
          <w:sz w:val="28"/>
          <w:szCs w:val="28"/>
        </w:rPr>
        <w:t>510</w:t>
      </w:r>
      <w:r w:rsidR="00485CC3">
        <w:rPr>
          <w:rFonts w:ascii="Times New Roman" w:hAnsi="Times New Roman"/>
          <w:sz w:val="28"/>
          <w:szCs w:val="28"/>
        </w:rPr>
        <w:t xml:space="preserve"> </w:t>
      </w:r>
      <w:r w:rsidR="00C9053B">
        <w:rPr>
          <w:rFonts w:ascii="Times New Roman" w:hAnsi="Times New Roman"/>
          <w:sz w:val="28"/>
          <w:szCs w:val="28"/>
        </w:rPr>
        <w:t>згідно із додатком</w:t>
      </w:r>
      <w:r w:rsidR="00485CC3">
        <w:rPr>
          <w:rFonts w:ascii="Times New Roman" w:hAnsi="Times New Roman"/>
          <w:sz w:val="28"/>
          <w:szCs w:val="28"/>
        </w:rPr>
        <w:t xml:space="preserve"> 3 до Інструкції «Довідник кодів ознак фінансових операцій за результатами внутрішнього фінансового моніторингу, заходів з відстеження (моніторингу), та стосовно яких є підстави підозрювати, що вони пов’язані, стосуються або призначені для </w:t>
      </w:r>
      <w:r w:rsidR="00485CC3" w:rsidRPr="007A6259">
        <w:rPr>
          <w:rFonts w:ascii="Times New Roman" w:hAnsi="Times New Roman"/>
          <w:sz w:val="28"/>
          <w:szCs w:val="28"/>
        </w:rPr>
        <w:t>фінансування тероризму чи</w:t>
      </w:r>
      <w:r w:rsidR="00485CC3">
        <w:rPr>
          <w:rFonts w:ascii="Times New Roman" w:hAnsi="Times New Roman"/>
          <w:sz w:val="28"/>
          <w:szCs w:val="28"/>
        </w:rPr>
        <w:t xml:space="preserve"> фінансування розповсюдження зброї масового знищення»</w:t>
      </w:r>
      <w:r w:rsidR="00D22607">
        <w:rPr>
          <w:rFonts w:ascii="Times New Roman" w:hAnsi="Times New Roman"/>
          <w:sz w:val="28"/>
          <w:szCs w:val="28"/>
        </w:rPr>
        <w:t xml:space="preserve"> (далі – додаток 3)</w:t>
      </w:r>
      <w:r w:rsidR="00E06C63">
        <w:rPr>
          <w:rFonts w:ascii="Times New Roman" w:hAnsi="Times New Roman"/>
          <w:sz w:val="28"/>
          <w:szCs w:val="28"/>
        </w:rPr>
        <w:t>.</w:t>
      </w:r>
    </w:p>
    <w:p w:rsidR="00D22607" w:rsidRPr="002A6F09" w:rsidRDefault="00D22607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E94">
        <w:rPr>
          <w:rFonts w:ascii="Times New Roman" w:hAnsi="Times New Roman"/>
          <w:sz w:val="28"/>
          <w:szCs w:val="28"/>
        </w:rPr>
        <w:t xml:space="preserve">Повідомлення про підозрілу діяльність </w:t>
      </w:r>
      <w:r w:rsidR="00057ABF" w:rsidRPr="00022E94">
        <w:rPr>
          <w:rFonts w:ascii="Times New Roman" w:hAnsi="Times New Roman"/>
          <w:sz w:val="28"/>
          <w:szCs w:val="28"/>
        </w:rPr>
        <w:t xml:space="preserve">рекомендовано </w:t>
      </w:r>
      <w:r w:rsidRPr="00022E94">
        <w:rPr>
          <w:rFonts w:ascii="Times New Roman" w:hAnsi="Times New Roman"/>
          <w:sz w:val="28"/>
          <w:szCs w:val="28"/>
        </w:rPr>
        <w:t xml:space="preserve">подавати </w:t>
      </w:r>
      <w:r w:rsidR="00C9053B" w:rsidRPr="00022E94">
        <w:rPr>
          <w:rFonts w:ascii="Times New Roman" w:hAnsi="Times New Roman"/>
          <w:sz w:val="28"/>
          <w:szCs w:val="28"/>
        </w:rPr>
        <w:t>із використанням фор</w:t>
      </w:r>
      <w:bookmarkStart w:id="3" w:name="_GoBack"/>
      <w:bookmarkEnd w:id="3"/>
      <w:r w:rsidR="00C9053B" w:rsidRPr="00022E94">
        <w:rPr>
          <w:rFonts w:ascii="Times New Roman" w:hAnsi="Times New Roman"/>
          <w:sz w:val="28"/>
          <w:szCs w:val="28"/>
        </w:rPr>
        <w:t>ми</w:t>
      </w:r>
      <w:r w:rsidRPr="00022E94">
        <w:rPr>
          <w:rFonts w:ascii="Times New Roman" w:hAnsi="Times New Roman"/>
          <w:sz w:val="28"/>
          <w:szCs w:val="28"/>
        </w:rPr>
        <w:t xml:space="preserve"> № 2-ФМ</w:t>
      </w:r>
      <w:r w:rsidR="00057ABF" w:rsidRPr="00022E94">
        <w:rPr>
          <w:rFonts w:ascii="Times New Roman" w:hAnsi="Times New Roman"/>
          <w:sz w:val="28"/>
          <w:szCs w:val="28"/>
        </w:rPr>
        <w:t>,</w:t>
      </w:r>
      <w:r w:rsidRPr="00022E94">
        <w:rPr>
          <w:rFonts w:ascii="Times New Roman" w:hAnsi="Times New Roman"/>
          <w:sz w:val="28"/>
          <w:szCs w:val="28"/>
        </w:rPr>
        <w:t xml:space="preserve"> в якій зазначається інформація про підозрілу фінансову операцію</w:t>
      </w:r>
      <w:r w:rsidR="00CF2C23" w:rsidRPr="00022E94">
        <w:rPr>
          <w:rFonts w:ascii="Times New Roman" w:hAnsi="Times New Roman"/>
          <w:sz w:val="28"/>
          <w:szCs w:val="28"/>
        </w:rPr>
        <w:t xml:space="preserve"> та/або діяльність</w:t>
      </w:r>
      <w:r w:rsidR="00C9053B" w:rsidRPr="00022E94">
        <w:rPr>
          <w:rFonts w:ascii="Times New Roman" w:hAnsi="Times New Roman"/>
          <w:sz w:val="28"/>
          <w:szCs w:val="28"/>
        </w:rPr>
        <w:t>,</w:t>
      </w:r>
      <w:r w:rsidRPr="00022E94">
        <w:rPr>
          <w:rFonts w:ascii="Times New Roman" w:hAnsi="Times New Roman"/>
          <w:sz w:val="28"/>
          <w:szCs w:val="28"/>
        </w:rPr>
        <w:t xml:space="preserve"> та у відповідному полі </w:t>
      </w:r>
      <w:r w:rsidR="00C9053B" w:rsidRPr="00022E94">
        <w:rPr>
          <w:rFonts w:ascii="Times New Roman" w:hAnsi="Times New Roman"/>
          <w:sz w:val="28"/>
          <w:szCs w:val="28"/>
        </w:rPr>
        <w:t>заповнюється</w:t>
      </w:r>
      <w:r w:rsidR="00057ABF" w:rsidRPr="00022E94">
        <w:rPr>
          <w:rFonts w:ascii="Times New Roman" w:hAnsi="Times New Roman"/>
          <w:sz w:val="28"/>
          <w:szCs w:val="28"/>
        </w:rPr>
        <w:t xml:space="preserve"> </w:t>
      </w:r>
      <w:r w:rsidRPr="00022E94">
        <w:rPr>
          <w:rFonts w:ascii="Times New Roman" w:hAnsi="Times New Roman"/>
          <w:sz w:val="28"/>
          <w:szCs w:val="28"/>
        </w:rPr>
        <w:t xml:space="preserve">код ознаки внутрішнього </w:t>
      </w:r>
      <w:r w:rsidR="00057ABF" w:rsidRPr="00022E94">
        <w:rPr>
          <w:rFonts w:ascii="Times New Roman" w:hAnsi="Times New Roman"/>
          <w:sz w:val="28"/>
          <w:szCs w:val="28"/>
        </w:rPr>
        <w:t xml:space="preserve">фінансового </w:t>
      </w:r>
      <w:r w:rsidRPr="00022E94">
        <w:rPr>
          <w:rFonts w:ascii="Times New Roman" w:hAnsi="Times New Roman"/>
          <w:sz w:val="28"/>
          <w:szCs w:val="28"/>
        </w:rPr>
        <w:t>моніторингу</w:t>
      </w:r>
      <w:r w:rsidR="00057ABF" w:rsidRPr="00022E94">
        <w:rPr>
          <w:rFonts w:ascii="Times New Roman" w:hAnsi="Times New Roman"/>
          <w:sz w:val="28"/>
          <w:szCs w:val="28"/>
        </w:rPr>
        <w:t xml:space="preserve"> - </w:t>
      </w:r>
      <w:r w:rsidRPr="00022E94">
        <w:rPr>
          <w:rFonts w:ascii="Times New Roman" w:hAnsi="Times New Roman"/>
          <w:b/>
          <w:sz w:val="28"/>
          <w:szCs w:val="28"/>
        </w:rPr>
        <w:t xml:space="preserve">900 </w:t>
      </w:r>
      <w:r w:rsidR="00057ABF" w:rsidRPr="00022E94">
        <w:rPr>
          <w:rFonts w:ascii="Times New Roman" w:hAnsi="Times New Roman"/>
          <w:b/>
          <w:sz w:val="28"/>
          <w:szCs w:val="28"/>
        </w:rPr>
        <w:t>(</w:t>
      </w:r>
      <w:r w:rsidRPr="00022E94">
        <w:rPr>
          <w:rFonts w:ascii="Times New Roman" w:hAnsi="Times New Roman"/>
          <w:sz w:val="28"/>
          <w:szCs w:val="28"/>
        </w:rPr>
        <w:t>додаток 3 до Інструкції</w:t>
      </w:r>
      <w:r w:rsidR="00057ABF" w:rsidRPr="00022E94">
        <w:rPr>
          <w:rFonts w:ascii="Times New Roman" w:hAnsi="Times New Roman"/>
          <w:sz w:val="28"/>
          <w:szCs w:val="28"/>
        </w:rPr>
        <w:t>)</w:t>
      </w:r>
      <w:r w:rsidRPr="00022E94">
        <w:rPr>
          <w:rFonts w:ascii="Times New Roman" w:hAnsi="Times New Roman"/>
          <w:sz w:val="28"/>
          <w:szCs w:val="28"/>
        </w:rPr>
        <w:t>.</w:t>
      </w:r>
      <w:r w:rsidR="00022E94" w:rsidRPr="00022E94">
        <w:rPr>
          <w:rFonts w:ascii="Times New Roman" w:hAnsi="Times New Roman"/>
          <w:sz w:val="28"/>
          <w:szCs w:val="28"/>
        </w:rPr>
        <w:t xml:space="preserve"> </w:t>
      </w:r>
      <w:r w:rsidR="00900544" w:rsidRPr="002A6F09">
        <w:rPr>
          <w:rFonts w:ascii="Times New Roman" w:hAnsi="Times New Roman"/>
          <w:sz w:val="28"/>
          <w:szCs w:val="28"/>
        </w:rPr>
        <w:t>У такому випадку,</w:t>
      </w:r>
      <w:r w:rsidR="00022E94" w:rsidRPr="002A6F09">
        <w:rPr>
          <w:rFonts w:ascii="Times New Roman" w:hAnsi="Times New Roman"/>
          <w:sz w:val="28"/>
          <w:szCs w:val="28"/>
        </w:rPr>
        <w:t xml:space="preserve"> </w:t>
      </w:r>
      <w:r w:rsidR="001832BC" w:rsidRPr="002A6F09">
        <w:rPr>
          <w:rFonts w:ascii="Times New Roman" w:hAnsi="Times New Roman"/>
          <w:sz w:val="28"/>
          <w:szCs w:val="28"/>
        </w:rPr>
        <w:t>розділ</w:t>
      </w:r>
      <w:r w:rsidR="00022E94" w:rsidRPr="002A6F09">
        <w:rPr>
          <w:rFonts w:ascii="Times New Roman" w:hAnsi="Times New Roman"/>
          <w:sz w:val="28"/>
          <w:szCs w:val="28"/>
        </w:rPr>
        <w:t xml:space="preserve"> </w:t>
      </w:r>
      <w:r w:rsidR="00022E94" w:rsidRPr="002A6F09">
        <w:rPr>
          <w:rFonts w:ascii="Times New Roman" w:hAnsi="Times New Roman"/>
          <w:sz w:val="28"/>
          <w:szCs w:val="28"/>
          <w:lang w:val="en-US"/>
        </w:rPr>
        <w:t>II</w:t>
      </w:r>
      <w:r w:rsidR="00022E94" w:rsidRPr="002A6F09">
        <w:rPr>
          <w:rFonts w:ascii="Times New Roman" w:hAnsi="Times New Roman"/>
          <w:sz w:val="28"/>
          <w:szCs w:val="28"/>
        </w:rPr>
        <w:t xml:space="preserve"> форми № 2-ФМ</w:t>
      </w:r>
      <w:r w:rsidR="001832BC" w:rsidRPr="002A6F09">
        <w:rPr>
          <w:rFonts w:ascii="Times New Roman" w:hAnsi="Times New Roman"/>
          <w:sz w:val="28"/>
          <w:szCs w:val="28"/>
        </w:rPr>
        <w:t xml:space="preserve"> (відомості про фінансові операції) </w:t>
      </w:r>
      <w:r w:rsidR="00900544" w:rsidRPr="002A6F09">
        <w:rPr>
          <w:rFonts w:ascii="Times New Roman" w:hAnsi="Times New Roman"/>
          <w:sz w:val="28"/>
          <w:szCs w:val="28"/>
        </w:rPr>
        <w:t>поля з інформацією про підозрілі фінансові операції, необхідно розуміти як поля для заповнення інформації про підозрілу діяльність</w:t>
      </w:r>
      <w:r w:rsidR="00022E94" w:rsidRPr="002A6F09">
        <w:rPr>
          <w:rFonts w:ascii="Times New Roman" w:hAnsi="Times New Roman"/>
          <w:sz w:val="28"/>
          <w:szCs w:val="28"/>
        </w:rPr>
        <w:t>.</w:t>
      </w:r>
    </w:p>
    <w:p w:rsidR="00A515BE" w:rsidRPr="00894A4E" w:rsidRDefault="00A515BE" w:rsidP="00A515BE">
      <w:pPr>
        <w:widowControl w:val="0"/>
        <w:spacing w:before="120"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894A4E">
        <w:rPr>
          <w:rFonts w:ascii="Times New Roman" w:hAnsi="Times New Roman"/>
          <w:sz w:val="28"/>
          <w:szCs w:val="28"/>
        </w:rPr>
        <w:t>У разі, якщо підозріла операція/діяльність здійснена</w:t>
      </w:r>
      <w:r w:rsidR="00894A4E" w:rsidRPr="00894A4E">
        <w:rPr>
          <w:rFonts w:ascii="Times New Roman" w:hAnsi="Times New Roman"/>
          <w:sz w:val="28"/>
          <w:szCs w:val="28"/>
        </w:rPr>
        <w:t>,</w:t>
      </w:r>
      <w:r w:rsidRPr="00894A4E">
        <w:rPr>
          <w:rFonts w:ascii="Times New Roman" w:hAnsi="Times New Roman"/>
          <w:sz w:val="28"/>
          <w:szCs w:val="28"/>
        </w:rPr>
        <w:t xml:space="preserve"> пов’язана з </w:t>
      </w:r>
      <w:r w:rsidRPr="00894A4E">
        <w:rPr>
          <w:rFonts w:ascii="Times New Roman" w:hAnsi="Times New Roman"/>
          <w:sz w:val="28"/>
          <w:szCs w:val="28"/>
        </w:rPr>
        <w:lastRenderedPageBreak/>
        <w:t xml:space="preserve">політично значущою особою, членом сім’ї політично значущої особи та/або особою, пов’язаною з політично значущою особою, у полі </w:t>
      </w:r>
      <w:r w:rsidR="00894A4E" w:rsidRPr="00894A4E">
        <w:rPr>
          <w:rFonts w:ascii="Times New Roman" w:hAnsi="Times New Roman"/>
          <w:sz w:val="28"/>
          <w:szCs w:val="28"/>
        </w:rPr>
        <w:t>64</w:t>
      </w:r>
      <w:r w:rsidRPr="00894A4E">
        <w:rPr>
          <w:rFonts w:ascii="Times New Roman" w:hAnsi="Times New Roman"/>
          <w:sz w:val="28"/>
          <w:szCs w:val="28"/>
        </w:rPr>
        <w:t>0 «Коментар до ознаки (ознак) фінансової опе</w:t>
      </w:r>
      <w:r w:rsidR="00894A4E" w:rsidRPr="00894A4E">
        <w:rPr>
          <w:rFonts w:ascii="Times New Roman" w:hAnsi="Times New Roman"/>
          <w:sz w:val="28"/>
          <w:szCs w:val="28"/>
        </w:rPr>
        <w:t>рації, що підлягає внутрішньому</w:t>
      </w:r>
      <w:r w:rsidRPr="00894A4E">
        <w:rPr>
          <w:rFonts w:ascii="Times New Roman" w:hAnsi="Times New Roman"/>
          <w:sz w:val="28"/>
          <w:szCs w:val="28"/>
        </w:rPr>
        <w:t xml:space="preserve"> фінансовому моніторингу»</w:t>
      </w:r>
      <w:r w:rsidR="00153371">
        <w:rPr>
          <w:rFonts w:ascii="Times New Roman" w:hAnsi="Times New Roman"/>
          <w:sz w:val="28"/>
          <w:szCs w:val="28"/>
        </w:rPr>
        <w:t xml:space="preserve">, </w:t>
      </w:r>
      <w:r w:rsidR="00BD6D78">
        <w:rPr>
          <w:rFonts w:ascii="Times New Roman" w:hAnsi="Times New Roman"/>
          <w:sz w:val="28"/>
          <w:szCs w:val="28"/>
        </w:rPr>
        <w:t>рекомендовано</w:t>
      </w:r>
      <w:r w:rsidRPr="00894A4E">
        <w:rPr>
          <w:rFonts w:ascii="Times New Roman" w:hAnsi="Times New Roman"/>
          <w:sz w:val="28"/>
          <w:szCs w:val="28"/>
        </w:rPr>
        <w:t xml:space="preserve"> вказувати  наступну інформацію:</w:t>
      </w:r>
    </w:p>
    <w:p w:rsidR="0000044D" w:rsidRPr="00910420" w:rsidRDefault="0000044D" w:rsidP="00910420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910420">
        <w:rPr>
          <w:rFonts w:ascii="Times New Roman" w:eastAsia="Times New Roman" w:hAnsi="Times New Roman"/>
          <w:color w:val="000000"/>
          <w:sz w:val="28"/>
          <w:szCs w:val="28"/>
        </w:rPr>
        <w:t>код 01, якщо клієнт є політично значуща особа;</w:t>
      </w:r>
    </w:p>
    <w:p w:rsidR="00910420" w:rsidRPr="00910420" w:rsidRDefault="00910420" w:rsidP="00910420">
      <w:pPr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0420">
        <w:rPr>
          <w:rFonts w:ascii="Times New Roman" w:eastAsia="Times New Roman" w:hAnsi="Times New Roman"/>
          <w:color w:val="000000"/>
          <w:sz w:val="28"/>
          <w:szCs w:val="28"/>
        </w:rPr>
        <w:t>код 02, якщо клієнт є членом сім’ї політично значущої особи, а потім через розділовий знак «;» зазначається прізвище, ім’я та (у разі наявності) по батькові; дата народження (у разі наявності)  політично значущої особи, до якої клієнт має відношення;</w:t>
      </w:r>
    </w:p>
    <w:p w:rsidR="00910420" w:rsidRPr="00910420" w:rsidRDefault="00910420" w:rsidP="00910420">
      <w:pPr>
        <w:widowControl w:val="0"/>
        <w:numPr>
          <w:ilvl w:val="0"/>
          <w:numId w:val="21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10420">
        <w:rPr>
          <w:rFonts w:ascii="Times New Roman" w:eastAsia="Times New Roman" w:hAnsi="Times New Roman"/>
          <w:color w:val="000000"/>
          <w:sz w:val="28"/>
          <w:szCs w:val="28"/>
        </w:rPr>
        <w:t>код 03, якщо клієнт є особою, пов’язаною з політично значущою особою, а потім через розділовий знак «;» зазначається прізвище, ім’я та (у разі наявності)  по батькові; дата народження (у разі наявності) політично значущої особи</w:t>
      </w:r>
      <w:r w:rsidR="00A56EFE">
        <w:rPr>
          <w:rFonts w:ascii="Times New Roman" w:eastAsia="Times New Roman" w:hAnsi="Times New Roman"/>
          <w:color w:val="000000"/>
          <w:sz w:val="28"/>
          <w:szCs w:val="28"/>
        </w:rPr>
        <w:t>, до якої клієнт має відношення</w:t>
      </w:r>
      <w:r w:rsidRPr="0091042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36582" w:rsidRPr="00F36582" w:rsidRDefault="00F36582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582">
        <w:rPr>
          <w:rFonts w:ascii="Times New Roman" w:hAnsi="Times New Roman"/>
          <w:sz w:val="28"/>
          <w:szCs w:val="28"/>
        </w:rPr>
        <w:t xml:space="preserve">При поданні повідомлень про підозрілу фінансову операцію (діяльність) рекомендується відображати </w:t>
      </w:r>
      <w:r w:rsidRPr="00D22607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полі 640 «Коментар до ознаки (ознак) фінансової операції, що підлягає внутрішньому фінансовому моніторингу»</w:t>
      </w:r>
      <w:r w:rsidR="00786FD0">
        <w:rPr>
          <w:rFonts w:ascii="Times New Roman" w:hAnsi="Times New Roman"/>
          <w:sz w:val="28"/>
          <w:szCs w:val="28"/>
        </w:rPr>
        <w:t xml:space="preserve"> запропоновані нижче</w:t>
      </w:r>
      <w:r w:rsidR="001B0835">
        <w:rPr>
          <w:rFonts w:ascii="Times New Roman" w:hAnsi="Times New Roman"/>
          <w:sz w:val="28"/>
          <w:szCs w:val="28"/>
        </w:rPr>
        <w:t xml:space="preserve"> коди ознак</w:t>
      </w:r>
      <w:r w:rsidR="00786FD0">
        <w:rPr>
          <w:rFonts w:ascii="Times New Roman" w:hAnsi="Times New Roman"/>
          <w:sz w:val="28"/>
          <w:szCs w:val="28"/>
        </w:rPr>
        <w:t xml:space="preserve"> підозр</w:t>
      </w:r>
      <w:r w:rsidRPr="00F36582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558"/>
        <w:gridCol w:w="8780"/>
      </w:tblGrid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936D8E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Шахрайські дії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Несанкціон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оване списання коштів з рахунку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Внесення готівки з сумн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івних джерел (не підтверджених)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Конвертація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 xml:space="preserve"> безготівкових коштів у готівку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Фінансові операції з активами, що не відповідає профілю клієнта;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Розкрадання/нецільове використання/привласнення бюджетних коштів, активів підприємств, установ, організацій з державно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ю/комунальною часткою власності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Фіктивне підприємництво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Підр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обка (фальсифікація) документів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 xml:space="preserve">Зарахування коштів із-за кордону 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з сумнівним джерелом походження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Відтік капіталу з країни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Торгівля наркотиками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Торгівля людьми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Ризик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ові операції з цінними паперами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Ризикові о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перації із страховими послугами</w:t>
            </w:r>
          </w:p>
        </w:tc>
      </w:tr>
      <w:tr w:rsidR="00F36582" w:rsidRPr="008C1343" w:rsidTr="00936D8E">
        <w:trPr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 xml:space="preserve">Ризикові операції пов’язані з використанням новітніх </w:t>
            </w:r>
            <w:r w:rsidR="00936D8E" w:rsidRPr="008C1343">
              <w:rPr>
                <w:rFonts w:ascii="Times New Roman" w:hAnsi="Times New Roman"/>
                <w:sz w:val="24"/>
                <w:szCs w:val="24"/>
              </w:rPr>
              <w:t>технологій/ віртуальних активів</w:t>
            </w:r>
          </w:p>
        </w:tc>
      </w:tr>
      <w:tr w:rsidR="00F36582" w:rsidRPr="008C1343" w:rsidTr="00936D8E">
        <w:trPr>
          <w:trHeight w:val="213"/>
          <w:jc w:val="center"/>
        </w:trPr>
        <w:tc>
          <w:tcPr>
            <w:tcW w:w="2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F36582" w:rsidP="0093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6582" w:rsidRPr="008C1343" w:rsidRDefault="00936D8E" w:rsidP="00936D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1343">
              <w:rPr>
                <w:rFonts w:ascii="Times New Roman" w:hAnsi="Times New Roman"/>
                <w:sz w:val="24"/>
                <w:szCs w:val="24"/>
              </w:rPr>
              <w:t>Інше</w:t>
            </w:r>
            <w:r w:rsidR="00F36582" w:rsidRPr="008C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1343">
              <w:rPr>
                <w:rFonts w:ascii="Times New Roman" w:hAnsi="Times New Roman"/>
                <w:sz w:val="24"/>
                <w:szCs w:val="24"/>
              </w:rPr>
              <w:t>(зазначається СПФМ самостійно)</w:t>
            </w:r>
          </w:p>
        </w:tc>
      </w:tr>
    </w:tbl>
    <w:p w:rsidR="00137F39" w:rsidRPr="00137F39" w:rsidRDefault="00137F39" w:rsidP="00137F39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 разі наявності декількох ознак підозр,  коди вказуються через «;». </w:t>
      </w:r>
    </w:p>
    <w:p w:rsidR="00226BA8" w:rsidRPr="007A6D1E" w:rsidRDefault="00226BA8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D1E">
        <w:rPr>
          <w:rFonts w:ascii="Times New Roman" w:hAnsi="Times New Roman"/>
          <w:sz w:val="28"/>
          <w:szCs w:val="28"/>
        </w:rPr>
        <w:t xml:space="preserve">При цьому, обґрунтований висновок щодо виникнення підозри або достатніх підстав для підозри, </w:t>
      </w:r>
      <w:r w:rsidRPr="00226BA8">
        <w:rPr>
          <w:rFonts w:ascii="Times New Roman" w:hAnsi="Times New Roman"/>
          <w:sz w:val="28"/>
          <w:szCs w:val="28"/>
        </w:rPr>
        <w:t>рекомендовано зазначати</w:t>
      </w:r>
      <w:r w:rsidRPr="007A6D1E">
        <w:rPr>
          <w:rFonts w:ascii="Times New Roman" w:hAnsi="Times New Roman"/>
          <w:sz w:val="28"/>
          <w:szCs w:val="28"/>
        </w:rPr>
        <w:t xml:space="preserve"> у розділі </w:t>
      </w:r>
      <w:r w:rsidRPr="007A6D1E">
        <w:rPr>
          <w:rFonts w:ascii="Times New Roman" w:hAnsi="Times New Roman"/>
          <w:sz w:val="28"/>
          <w:szCs w:val="28"/>
          <w:lang w:val="en-US"/>
        </w:rPr>
        <w:t>IV</w:t>
      </w:r>
      <w:r w:rsidRPr="007A6D1E">
        <w:rPr>
          <w:rFonts w:ascii="Times New Roman" w:hAnsi="Times New Roman"/>
          <w:sz w:val="28"/>
          <w:szCs w:val="28"/>
        </w:rPr>
        <w:t xml:space="preserve"> «Додаткова інформація» форми № 2-ФМ. </w:t>
      </w:r>
    </w:p>
    <w:p w:rsidR="00F36582" w:rsidRDefault="00226BA8" w:rsidP="0086053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D1E">
        <w:rPr>
          <w:rFonts w:ascii="Times New Roman" w:hAnsi="Times New Roman"/>
          <w:sz w:val="28"/>
          <w:szCs w:val="28"/>
        </w:rPr>
        <w:t>У випадку надання СПФМ копій документів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343">
        <w:rPr>
          <w:rFonts w:ascii="Times New Roman" w:hAnsi="Times New Roman"/>
          <w:sz w:val="28"/>
          <w:szCs w:val="28"/>
        </w:rPr>
        <w:t xml:space="preserve">а також </w:t>
      </w:r>
      <w:r w:rsidRPr="007A6D1E">
        <w:rPr>
          <w:rFonts w:ascii="Times New Roman" w:hAnsi="Times New Roman"/>
          <w:sz w:val="28"/>
          <w:szCs w:val="28"/>
        </w:rPr>
        <w:t xml:space="preserve">інформації, на основі якої сформовано підозру, </w:t>
      </w:r>
      <w:r w:rsidR="008C1343" w:rsidRPr="007A6D1E">
        <w:rPr>
          <w:rFonts w:ascii="Times New Roman" w:hAnsi="Times New Roman"/>
          <w:sz w:val="28"/>
          <w:szCs w:val="28"/>
        </w:rPr>
        <w:t>що фінансова операція є результатом злочинної діяльно</w:t>
      </w:r>
      <w:r w:rsidR="008C1343">
        <w:rPr>
          <w:rFonts w:ascii="Times New Roman" w:hAnsi="Times New Roman"/>
          <w:sz w:val="28"/>
          <w:szCs w:val="28"/>
        </w:rPr>
        <w:t>сті або пов’язана чи стосується</w:t>
      </w:r>
      <w:r w:rsidR="008C1343" w:rsidRPr="007A6D1E">
        <w:rPr>
          <w:rFonts w:ascii="Times New Roman" w:hAnsi="Times New Roman"/>
          <w:sz w:val="28"/>
          <w:szCs w:val="28"/>
        </w:rPr>
        <w:t xml:space="preserve"> </w:t>
      </w:r>
      <w:r w:rsidR="008C1343" w:rsidRPr="007A6259">
        <w:rPr>
          <w:rFonts w:ascii="Times New Roman" w:hAnsi="Times New Roman"/>
          <w:sz w:val="28"/>
          <w:szCs w:val="28"/>
        </w:rPr>
        <w:t>фінансування тероризму або</w:t>
      </w:r>
      <w:r w:rsidR="008C1343" w:rsidRPr="007A6D1E">
        <w:rPr>
          <w:rFonts w:ascii="Times New Roman" w:hAnsi="Times New Roman"/>
          <w:sz w:val="28"/>
          <w:szCs w:val="28"/>
        </w:rPr>
        <w:t xml:space="preserve"> </w:t>
      </w:r>
      <w:r w:rsidR="008C1343" w:rsidRPr="007A6D1E">
        <w:rPr>
          <w:rFonts w:ascii="Times New Roman" w:hAnsi="Times New Roman"/>
          <w:sz w:val="28"/>
          <w:szCs w:val="28"/>
        </w:rPr>
        <w:lastRenderedPageBreak/>
        <w:t>фінансування розповсюджен</w:t>
      </w:r>
      <w:r w:rsidR="008C1343">
        <w:rPr>
          <w:rFonts w:ascii="Times New Roman" w:hAnsi="Times New Roman"/>
          <w:sz w:val="28"/>
          <w:szCs w:val="28"/>
        </w:rPr>
        <w:t xml:space="preserve">ня зброї масового знищення, а також іншої </w:t>
      </w:r>
      <w:r w:rsidRPr="007A6D1E">
        <w:rPr>
          <w:rFonts w:ascii="Times New Roman" w:hAnsi="Times New Roman"/>
          <w:sz w:val="28"/>
          <w:szCs w:val="28"/>
        </w:rPr>
        <w:t xml:space="preserve">додаткової інформації, яка </w:t>
      </w:r>
      <w:r w:rsidR="008C1343">
        <w:rPr>
          <w:rFonts w:ascii="Times New Roman" w:hAnsi="Times New Roman"/>
          <w:sz w:val="28"/>
          <w:szCs w:val="28"/>
        </w:rPr>
        <w:t>має відношення до</w:t>
      </w:r>
      <w:r w:rsidRPr="007A6D1E">
        <w:rPr>
          <w:rFonts w:ascii="Times New Roman" w:hAnsi="Times New Roman"/>
          <w:sz w:val="28"/>
          <w:szCs w:val="28"/>
        </w:rPr>
        <w:t xml:space="preserve"> </w:t>
      </w:r>
      <w:r w:rsidR="008C1343">
        <w:rPr>
          <w:rFonts w:ascii="Times New Roman" w:hAnsi="Times New Roman"/>
          <w:sz w:val="28"/>
          <w:szCs w:val="28"/>
        </w:rPr>
        <w:t xml:space="preserve">підозрілої </w:t>
      </w:r>
      <w:r w:rsidRPr="007A6D1E">
        <w:rPr>
          <w:rFonts w:ascii="Times New Roman" w:hAnsi="Times New Roman"/>
          <w:sz w:val="28"/>
          <w:szCs w:val="28"/>
        </w:rPr>
        <w:t>фінансової операції</w:t>
      </w:r>
      <w:r w:rsidRPr="00226BA8">
        <w:rPr>
          <w:rFonts w:ascii="Times New Roman" w:hAnsi="Times New Roman"/>
          <w:sz w:val="28"/>
          <w:szCs w:val="28"/>
        </w:rPr>
        <w:t>, таку інформацію рекомендовано надавати</w:t>
      </w:r>
      <w:r w:rsidRPr="007A6D1E">
        <w:rPr>
          <w:rFonts w:ascii="Times New Roman" w:hAnsi="Times New Roman"/>
          <w:sz w:val="28"/>
          <w:szCs w:val="28"/>
        </w:rPr>
        <w:t xml:space="preserve"> разом з формою № 2-ФМ в еле</w:t>
      </w:r>
      <w:r w:rsidR="008C1343">
        <w:rPr>
          <w:rFonts w:ascii="Times New Roman" w:hAnsi="Times New Roman"/>
          <w:sz w:val="28"/>
          <w:szCs w:val="28"/>
        </w:rPr>
        <w:t>ктронному або паперовому вигляді</w:t>
      </w:r>
      <w:r w:rsidRPr="007A6D1E">
        <w:rPr>
          <w:rFonts w:ascii="Times New Roman" w:hAnsi="Times New Roman"/>
          <w:sz w:val="28"/>
          <w:szCs w:val="28"/>
        </w:rPr>
        <w:t>.</w:t>
      </w:r>
    </w:p>
    <w:p w:rsidR="00BB7DCF" w:rsidRPr="004F7509" w:rsidRDefault="00BB7DCF" w:rsidP="004F7509">
      <w:pPr>
        <w:widowControl w:val="0"/>
        <w:shd w:val="clear" w:color="auto" w:fill="BDD6EE" w:themeFill="accent1" w:themeFillTint="66"/>
        <w:spacing w:before="120" w:after="12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F7509">
        <w:rPr>
          <w:rFonts w:ascii="Times New Roman" w:hAnsi="Times New Roman"/>
          <w:b/>
          <w:i/>
          <w:sz w:val="28"/>
          <w:szCs w:val="28"/>
        </w:rPr>
        <w:t xml:space="preserve">Щодо подання інформації </w:t>
      </w:r>
      <w:r w:rsidR="00D10562" w:rsidRPr="004F7509">
        <w:rPr>
          <w:rFonts w:ascii="Times New Roman" w:hAnsi="Times New Roman"/>
          <w:b/>
          <w:i/>
          <w:sz w:val="28"/>
          <w:szCs w:val="28"/>
        </w:rPr>
        <w:t xml:space="preserve">про розбіжності між відомостями </w:t>
      </w:r>
      <w:r w:rsidR="00D10562" w:rsidRPr="004F7509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про </w:t>
      </w:r>
      <w:r w:rsidR="008C1343" w:rsidRPr="004F7509">
        <w:rPr>
          <w:rFonts w:ascii="Times New Roman" w:hAnsi="Times New Roman"/>
          <w:b/>
          <w:i/>
          <w:color w:val="000000" w:themeColor="text1"/>
          <w:sz w:val="28"/>
          <w:szCs w:val="28"/>
        </w:rPr>
        <w:t>КБВ</w:t>
      </w:r>
    </w:p>
    <w:p w:rsidR="00C46923" w:rsidRDefault="00C46923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E1F74">
        <w:rPr>
          <w:rFonts w:ascii="Times New Roman" w:hAnsi="Times New Roman"/>
          <w:sz w:val="28"/>
          <w:szCs w:val="28"/>
        </w:rPr>
        <w:t xml:space="preserve">гідно з підпунктом «г» пункту 8 частини другої статті 8 Закону СПФМ зобов’язаний повідомляти Держфінмоніторинг про розбіжності між відомостями про </w:t>
      </w:r>
      <w:r w:rsidR="008C1343">
        <w:rPr>
          <w:rFonts w:ascii="Times New Roman" w:hAnsi="Times New Roman"/>
          <w:sz w:val="28"/>
          <w:szCs w:val="28"/>
        </w:rPr>
        <w:t>КБВ</w:t>
      </w:r>
      <w:r w:rsidRPr="007E1F74">
        <w:rPr>
          <w:rFonts w:ascii="Times New Roman" w:hAnsi="Times New Roman"/>
          <w:sz w:val="28"/>
          <w:szCs w:val="28"/>
        </w:rPr>
        <w:t xml:space="preserve"> клієнта, які містяться в Єдиному державному реєстрі юридичних осіб, фізичних осіб – підприємців та громадських формувань, та інформацією про </w:t>
      </w:r>
      <w:r w:rsidR="008C1343">
        <w:rPr>
          <w:rFonts w:ascii="Times New Roman" w:hAnsi="Times New Roman"/>
          <w:sz w:val="28"/>
          <w:szCs w:val="28"/>
        </w:rPr>
        <w:t>КБВ</w:t>
      </w:r>
      <w:r w:rsidRPr="007E1F74">
        <w:rPr>
          <w:rFonts w:ascii="Times New Roman" w:hAnsi="Times New Roman"/>
          <w:sz w:val="28"/>
          <w:szCs w:val="28"/>
        </w:rPr>
        <w:t xml:space="preserve">, отриманою </w:t>
      </w:r>
      <w:r w:rsidRPr="0086053B">
        <w:rPr>
          <w:rFonts w:ascii="Times New Roman" w:hAnsi="Times New Roman"/>
          <w:sz w:val="28"/>
          <w:szCs w:val="28"/>
        </w:rPr>
        <w:t>суб’єктом первинного фінансового моніторингу в результаті здійснення належної перевірки клієнта.</w:t>
      </w:r>
      <w:r w:rsidRPr="007E1F74">
        <w:rPr>
          <w:rFonts w:ascii="Times New Roman" w:hAnsi="Times New Roman"/>
          <w:sz w:val="28"/>
          <w:szCs w:val="28"/>
        </w:rPr>
        <w:t xml:space="preserve"> </w:t>
      </w:r>
    </w:p>
    <w:p w:rsidR="00C33DF8" w:rsidRPr="00A91184" w:rsidRDefault="002A777F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184">
        <w:rPr>
          <w:rFonts w:ascii="Times New Roman" w:hAnsi="Times New Roman"/>
          <w:sz w:val="28"/>
          <w:szCs w:val="28"/>
        </w:rPr>
        <w:t xml:space="preserve">Відповідно до абзацу п’ятого частини сьомої статті 11 Закону з метою встановлення кінцевого </w:t>
      </w:r>
      <w:proofErr w:type="spellStart"/>
      <w:r w:rsidRPr="00A91184">
        <w:rPr>
          <w:rFonts w:ascii="Times New Roman" w:hAnsi="Times New Roman"/>
          <w:sz w:val="28"/>
          <w:szCs w:val="28"/>
        </w:rPr>
        <w:t>бенефіціарного</w:t>
      </w:r>
      <w:proofErr w:type="spellEnd"/>
      <w:r w:rsidRPr="00A91184">
        <w:rPr>
          <w:rFonts w:ascii="Times New Roman" w:hAnsi="Times New Roman"/>
          <w:sz w:val="28"/>
          <w:szCs w:val="28"/>
        </w:rPr>
        <w:t xml:space="preserve"> власника СПФМ </w:t>
      </w:r>
      <w:proofErr w:type="spellStart"/>
      <w:r w:rsidRPr="00A91184">
        <w:rPr>
          <w:rFonts w:ascii="Times New Roman" w:hAnsi="Times New Roman"/>
          <w:sz w:val="28"/>
          <w:szCs w:val="28"/>
        </w:rPr>
        <w:t>витребовує</w:t>
      </w:r>
      <w:proofErr w:type="spellEnd"/>
      <w:r w:rsidRPr="00A91184">
        <w:rPr>
          <w:rFonts w:ascii="Times New Roman" w:hAnsi="Times New Roman"/>
          <w:sz w:val="28"/>
          <w:szCs w:val="28"/>
        </w:rPr>
        <w:t xml:space="preserve"> та отримує від клієнта – юридичної особи структуру власності такого клієнта.</w:t>
      </w:r>
    </w:p>
    <w:p w:rsidR="00C46923" w:rsidRPr="007E1F74" w:rsidRDefault="002A777F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1184">
        <w:rPr>
          <w:rFonts w:ascii="Times New Roman" w:hAnsi="Times New Roman"/>
          <w:sz w:val="28"/>
          <w:szCs w:val="28"/>
        </w:rPr>
        <w:t xml:space="preserve">У випадку </w:t>
      </w:r>
      <w:r w:rsidR="00C46923" w:rsidRPr="00A91184">
        <w:rPr>
          <w:rFonts w:ascii="Times New Roman" w:hAnsi="Times New Roman"/>
          <w:sz w:val="28"/>
          <w:szCs w:val="28"/>
        </w:rPr>
        <w:t>виявлен</w:t>
      </w:r>
      <w:r w:rsidRPr="00A91184">
        <w:rPr>
          <w:rFonts w:ascii="Times New Roman" w:hAnsi="Times New Roman"/>
          <w:sz w:val="28"/>
          <w:szCs w:val="28"/>
        </w:rPr>
        <w:t>ня</w:t>
      </w:r>
      <w:r w:rsidR="00C46923" w:rsidRPr="00A91184">
        <w:rPr>
          <w:rFonts w:ascii="Times New Roman" w:hAnsi="Times New Roman"/>
          <w:sz w:val="28"/>
          <w:szCs w:val="28"/>
        </w:rPr>
        <w:t xml:space="preserve"> роз</w:t>
      </w:r>
      <w:r w:rsidR="008C1343" w:rsidRPr="00A91184">
        <w:rPr>
          <w:rFonts w:ascii="Times New Roman" w:hAnsi="Times New Roman"/>
          <w:sz w:val="28"/>
          <w:szCs w:val="28"/>
        </w:rPr>
        <w:t>біжност</w:t>
      </w:r>
      <w:r w:rsidRPr="00A91184">
        <w:rPr>
          <w:rFonts w:ascii="Times New Roman" w:hAnsi="Times New Roman"/>
          <w:sz w:val="28"/>
          <w:szCs w:val="28"/>
        </w:rPr>
        <w:t xml:space="preserve">ей </w:t>
      </w:r>
      <w:r w:rsidR="00C46923" w:rsidRPr="00A91184">
        <w:rPr>
          <w:rFonts w:ascii="Times New Roman" w:hAnsi="Times New Roman"/>
          <w:sz w:val="28"/>
          <w:szCs w:val="28"/>
        </w:rPr>
        <w:t xml:space="preserve">між відомостями про </w:t>
      </w:r>
      <w:r w:rsidR="008C1343" w:rsidRPr="00A91184">
        <w:rPr>
          <w:rFonts w:ascii="Times New Roman" w:hAnsi="Times New Roman"/>
          <w:sz w:val="28"/>
          <w:szCs w:val="28"/>
        </w:rPr>
        <w:t>КБВ</w:t>
      </w:r>
      <w:r w:rsidR="00C46923" w:rsidRPr="00A91184">
        <w:rPr>
          <w:rFonts w:ascii="Times New Roman" w:hAnsi="Times New Roman"/>
          <w:sz w:val="28"/>
          <w:szCs w:val="28"/>
        </w:rPr>
        <w:t xml:space="preserve"> осіб</w:t>
      </w:r>
      <w:r w:rsidR="00914D70" w:rsidRPr="00A91184">
        <w:rPr>
          <w:rFonts w:ascii="Times New Roman" w:hAnsi="Times New Roman"/>
          <w:sz w:val="28"/>
          <w:szCs w:val="28"/>
        </w:rPr>
        <w:t xml:space="preserve"> </w:t>
      </w:r>
      <w:r w:rsidRPr="00A91184">
        <w:rPr>
          <w:rFonts w:ascii="Times New Roman" w:hAnsi="Times New Roman"/>
          <w:sz w:val="28"/>
          <w:szCs w:val="28"/>
        </w:rPr>
        <w:t xml:space="preserve">рекомендуємо надавати інформацію </w:t>
      </w:r>
      <w:r w:rsidR="00914D70" w:rsidRPr="00A91184">
        <w:rPr>
          <w:rFonts w:ascii="Times New Roman" w:hAnsi="Times New Roman"/>
          <w:sz w:val="28"/>
          <w:szCs w:val="28"/>
        </w:rPr>
        <w:t xml:space="preserve">структуровано у табличному вигляді </w:t>
      </w:r>
      <w:r w:rsidR="00914D70" w:rsidRPr="00A91184">
        <w:rPr>
          <w:rFonts w:ascii="Times New Roman" w:hAnsi="Times New Roman"/>
          <w:sz w:val="28"/>
          <w:szCs w:val="28"/>
          <w:lang w:val="ru-RU"/>
        </w:rPr>
        <w:t>(</w:t>
      </w:r>
      <w:r w:rsidR="00914D70" w:rsidRPr="00A91184">
        <w:rPr>
          <w:rFonts w:ascii="Times New Roman" w:hAnsi="Times New Roman"/>
          <w:sz w:val="28"/>
          <w:szCs w:val="28"/>
        </w:rPr>
        <w:t>згідно</w:t>
      </w:r>
      <w:r w:rsidR="00206652" w:rsidRPr="00A91184">
        <w:rPr>
          <w:rFonts w:ascii="Times New Roman" w:hAnsi="Times New Roman"/>
          <w:sz w:val="28"/>
          <w:szCs w:val="28"/>
        </w:rPr>
        <w:t xml:space="preserve"> з додатком</w:t>
      </w:r>
      <w:r w:rsidR="00A77C4E" w:rsidRPr="00A91184">
        <w:rPr>
          <w:rFonts w:ascii="Times New Roman" w:hAnsi="Times New Roman"/>
          <w:sz w:val="28"/>
          <w:szCs w:val="28"/>
        </w:rPr>
        <w:t xml:space="preserve"> 1</w:t>
      </w:r>
      <w:r w:rsidR="00914D70" w:rsidRPr="00A91184">
        <w:rPr>
          <w:rFonts w:ascii="Times New Roman" w:hAnsi="Times New Roman"/>
          <w:sz w:val="28"/>
          <w:szCs w:val="28"/>
        </w:rPr>
        <w:t xml:space="preserve"> у форматі </w:t>
      </w:r>
      <w:proofErr w:type="spellStart"/>
      <w:r w:rsidR="00914D70" w:rsidRPr="00A91184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914D70" w:rsidRPr="00A91184">
        <w:rPr>
          <w:rFonts w:ascii="Times New Roman" w:hAnsi="Times New Roman"/>
          <w:sz w:val="28"/>
          <w:szCs w:val="28"/>
          <w:lang w:val="ru-RU"/>
        </w:rPr>
        <w:t>)</w:t>
      </w:r>
      <w:r w:rsidR="004F7509" w:rsidRPr="00A91184">
        <w:rPr>
          <w:rFonts w:ascii="Times New Roman" w:hAnsi="Times New Roman"/>
          <w:sz w:val="28"/>
          <w:szCs w:val="28"/>
        </w:rPr>
        <w:t xml:space="preserve"> </w:t>
      </w:r>
      <w:r w:rsidR="00C46923" w:rsidRPr="00A91184">
        <w:rPr>
          <w:rFonts w:ascii="Times New Roman" w:hAnsi="Times New Roman"/>
          <w:sz w:val="28"/>
          <w:szCs w:val="28"/>
        </w:rPr>
        <w:t>із зазначенням наступної інформації:</w:t>
      </w:r>
    </w:p>
    <w:p w:rsidR="00C46923" w:rsidRPr="008C1343" w:rsidRDefault="008C1343" w:rsidP="008C1343">
      <w:pPr>
        <w:pStyle w:val="aa"/>
        <w:widowControl w:val="0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6923" w:rsidRPr="008C1343">
        <w:rPr>
          <w:rFonts w:ascii="Times New Roman" w:hAnsi="Times New Roman"/>
          <w:sz w:val="28"/>
          <w:szCs w:val="28"/>
        </w:rPr>
        <w:t xml:space="preserve">ідомості про </w:t>
      </w:r>
      <w:r w:rsidR="0086053B" w:rsidRPr="008C1343">
        <w:rPr>
          <w:rFonts w:ascii="Times New Roman" w:hAnsi="Times New Roman"/>
          <w:sz w:val="28"/>
          <w:szCs w:val="28"/>
        </w:rPr>
        <w:t>СПФМ</w:t>
      </w:r>
      <w:r w:rsidR="00C46923" w:rsidRPr="008C1343">
        <w:rPr>
          <w:rFonts w:ascii="Times New Roman" w:hAnsi="Times New Roman"/>
          <w:sz w:val="28"/>
          <w:szCs w:val="28"/>
        </w:rPr>
        <w:t>, який надає інформацію, зокрема:</w:t>
      </w:r>
    </w:p>
    <w:p w:rsidR="00C46923" w:rsidRPr="008C1343" w:rsidRDefault="000E1E88" w:rsidP="008C1343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найменування суб’єкта</w:t>
      </w:r>
      <w:r w:rsidR="00C46923" w:rsidRPr="008C1343">
        <w:rPr>
          <w:rFonts w:ascii="Times New Roman" w:hAnsi="Times New Roman"/>
          <w:sz w:val="28"/>
          <w:szCs w:val="28"/>
        </w:rPr>
        <w:t>;</w:t>
      </w:r>
    </w:p>
    <w:p w:rsidR="00C46923" w:rsidRPr="008C1343" w:rsidRDefault="00C46923" w:rsidP="008C1343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8C1343">
        <w:rPr>
          <w:rFonts w:ascii="Times New Roman" w:hAnsi="Times New Roman"/>
          <w:sz w:val="28"/>
          <w:szCs w:val="28"/>
        </w:rPr>
        <w:t>код за ЄДРПОУ (РНОКПП фізичної особи);</w:t>
      </w:r>
    </w:p>
    <w:p w:rsidR="00A91184" w:rsidRPr="008C1343" w:rsidRDefault="00A91184" w:rsidP="008C1343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обліковий ідентифікатор суб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23" w:rsidRPr="008C1343" w:rsidRDefault="008C1343" w:rsidP="000E1E88">
      <w:pPr>
        <w:pStyle w:val="aa"/>
        <w:widowControl w:val="0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C46923" w:rsidRPr="008C1343">
        <w:rPr>
          <w:rFonts w:ascii="Times New Roman" w:hAnsi="Times New Roman"/>
          <w:sz w:val="28"/>
          <w:szCs w:val="28"/>
        </w:rPr>
        <w:t>нформація щодо особи</w:t>
      </w:r>
      <w:r>
        <w:rPr>
          <w:rFonts w:ascii="Times New Roman" w:hAnsi="Times New Roman"/>
          <w:sz w:val="28"/>
          <w:szCs w:val="28"/>
        </w:rPr>
        <w:t>,</w:t>
      </w:r>
      <w:r w:rsidR="00C46923" w:rsidRPr="008C1343">
        <w:rPr>
          <w:rFonts w:ascii="Times New Roman" w:hAnsi="Times New Roman"/>
          <w:sz w:val="28"/>
          <w:szCs w:val="28"/>
        </w:rPr>
        <w:t xml:space="preserve"> по якій виявлено розбіжності між відомостями про </w:t>
      </w:r>
      <w:r>
        <w:rPr>
          <w:rFonts w:ascii="Times New Roman" w:hAnsi="Times New Roman"/>
          <w:sz w:val="28"/>
          <w:szCs w:val="28"/>
        </w:rPr>
        <w:t>КБВ</w:t>
      </w:r>
      <w:r w:rsidR="00C46923" w:rsidRPr="008C1343">
        <w:rPr>
          <w:rFonts w:ascii="Times New Roman" w:hAnsi="Times New Roman"/>
          <w:sz w:val="28"/>
          <w:szCs w:val="28"/>
        </w:rPr>
        <w:t>, зокрема:</w:t>
      </w:r>
    </w:p>
    <w:p w:rsidR="00C46923" w:rsidRPr="007E1F74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1F74">
        <w:rPr>
          <w:rFonts w:ascii="Times New Roman" w:hAnsi="Times New Roman"/>
          <w:sz w:val="28"/>
          <w:szCs w:val="28"/>
        </w:rPr>
        <w:t>назва юридичної  особи;</w:t>
      </w:r>
    </w:p>
    <w:p w:rsidR="00C46923" w:rsidRPr="007E1F74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1F74">
        <w:rPr>
          <w:rFonts w:ascii="Times New Roman" w:hAnsi="Times New Roman"/>
          <w:sz w:val="28"/>
          <w:szCs w:val="28"/>
        </w:rPr>
        <w:t xml:space="preserve">код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E1F74">
        <w:rPr>
          <w:rFonts w:ascii="Times New Roman" w:hAnsi="Times New Roman"/>
          <w:sz w:val="28"/>
          <w:szCs w:val="28"/>
        </w:rPr>
        <w:t>ЄДРПОУ;</w:t>
      </w:r>
    </w:p>
    <w:p w:rsidR="00C46923" w:rsidRPr="007E1F74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1F74">
        <w:rPr>
          <w:rFonts w:ascii="Times New Roman" w:hAnsi="Times New Roman"/>
          <w:sz w:val="28"/>
          <w:szCs w:val="28"/>
        </w:rPr>
        <w:t>код згідно</w:t>
      </w:r>
      <w:r w:rsidR="00206652">
        <w:rPr>
          <w:rFonts w:ascii="Times New Roman" w:hAnsi="Times New Roman"/>
          <w:sz w:val="28"/>
          <w:szCs w:val="28"/>
        </w:rPr>
        <w:t xml:space="preserve"> з класифікацією</w:t>
      </w:r>
      <w:r w:rsidRPr="007E1F74">
        <w:rPr>
          <w:rFonts w:ascii="Times New Roman" w:hAnsi="Times New Roman"/>
          <w:sz w:val="28"/>
          <w:szCs w:val="28"/>
        </w:rPr>
        <w:t xml:space="preserve"> організаційно-правових форм господарювання (</w:t>
      </w:r>
      <w:r w:rsidR="000E1E88">
        <w:rPr>
          <w:rFonts w:ascii="Times New Roman" w:hAnsi="Times New Roman"/>
          <w:sz w:val="28"/>
          <w:szCs w:val="28"/>
        </w:rPr>
        <w:t>відповідно до Класифікації</w:t>
      </w:r>
      <w:r w:rsidRPr="007E1F74">
        <w:rPr>
          <w:rFonts w:ascii="Times New Roman" w:hAnsi="Times New Roman"/>
          <w:sz w:val="28"/>
          <w:szCs w:val="28"/>
        </w:rPr>
        <w:t xml:space="preserve"> організаційно-правових форм господарювання (наказ Держспоживстандарту України від 28.05.2004 № 97))</w:t>
      </w:r>
      <w:r w:rsidR="00A91184">
        <w:rPr>
          <w:rFonts w:ascii="Times New Roman" w:hAnsi="Times New Roman"/>
          <w:sz w:val="28"/>
          <w:szCs w:val="28"/>
        </w:rPr>
        <w:t xml:space="preserve"> (у разі наявності)</w:t>
      </w:r>
      <w:r w:rsidR="0000044D">
        <w:rPr>
          <w:rFonts w:ascii="Times New Roman" w:hAnsi="Times New Roman"/>
          <w:sz w:val="28"/>
          <w:szCs w:val="28"/>
        </w:rPr>
        <w:t xml:space="preserve"> </w:t>
      </w:r>
      <w:r w:rsidRPr="007E1F74">
        <w:rPr>
          <w:rFonts w:ascii="Times New Roman" w:hAnsi="Times New Roman"/>
          <w:sz w:val="28"/>
          <w:szCs w:val="28"/>
        </w:rPr>
        <w:t>;</w:t>
      </w:r>
    </w:p>
    <w:p w:rsidR="00A91184" w:rsidRPr="0000044D" w:rsidRDefault="00C46923" w:rsidP="00272515">
      <w:pPr>
        <w:pStyle w:val="a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/>
        <w:jc w:val="both"/>
        <w:rPr>
          <w:sz w:val="28"/>
          <w:szCs w:val="28"/>
        </w:rPr>
      </w:pPr>
      <w:r w:rsidRPr="0000044D">
        <w:rPr>
          <w:rFonts w:ascii="Times New Roman" w:hAnsi="Times New Roman"/>
          <w:sz w:val="28"/>
          <w:szCs w:val="28"/>
        </w:rPr>
        <w:t>м</w:t>
      </w:r>
      <w:r w:rsidR="0000044D" w:rsidRPr="0000044D">
        <w:rPr>
          <w:rFonts w:ascii="Times New Roman" w:hAnsi="Times New Roman"/>
          <w:sz w:val="28"/>
          <w:szCs w:val="28"/>
        </w:rPr>
        <w:t>ісцезнаходження юридичної особи</w:t>
      </w:r>
      <w:r w:rsidR="00A91184" w:rsidRPr="0000044D">
        <w:rPr>
          <w:rFonts w:ascii="Times New Roman" w:eastAsia="Times New Roman" w:hAnsi="Times New Roman"/>
          <w:sz w:val="28"/>
          <w:szCs w:val="28"/>
        </w:rPr>
        <w:t>.</w:t>
      </w:r>
    </w:p>
    <w:p w:rsidR="00C46923" w:rsidRDefault="000E1E88" w:rsidP="000E1E88">
      <w:pPr>
        <w:pStyle w:val="aa"/>
        <w:widowControl w:val="0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Коментар щодо виявленої</w:t>
      </w:r>
      <w:r w:rsidR="00C46923" w:rsidRPr="000E1E88">
        <w:rPr>
          <w:rFonts w:ascii="Times New Roman" w:hAnsi="Times New Roman"/>
          <w:sz w:val="28"/>
          <w:szCs w:val="28"/>
        </w:rPr>
        <w:t xml:space="preserve"> розбіжності між відомостями про КБВ за результатами проведеної належної перевірки клієнта</w:t>
      </w:r>
      <w:r w:rsidR="00DC1A3C">
        <w:rPr>
          <w:rFonts w:ascii="Times New Roman" w:hAnsi="Times New Roman"/>
          <w:sz w:val="28"/>
          <w:szCs w:val="28"/>
        </w:rPr>
        <w:t xml:space="preserve"> (за наявності)</w:t>
      </w:r>
      <w:r>
        <w:rPr>
          <w:rFonts w:ascii="Times New Roman" w:hAnsi="Times New Roman"/>
          <w:sz w:val="28"/>
          <w:szCs w:val="28"/>
        </w:rPr>
        <w:t>.</w:t>
      </w:r>
    </w:p>
    <w:p w:rsidR="00C46923" w:rsidRPr="000E1E88" w:rsidRDefault="000E1E88" w:rsidP="000E1E88">
      <w:pPr>
        <w:pStyle w:val="aa"/>
        <w:widowControl w:val="0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Інформація </w:t>
      </w:r>
      <w:r w:rsidR="00C46923" w:rsidRPr="000E1E88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КБВ</w:t>
      </w:r>
      <w:r w:rsidR="00C46923" w:rsidRPr="000E1E88">
        <w:rPr>
          <w:rFonts w:ascii="Times New Roman" w:hAnsi="Times New Roman"/>
          <w:sz w:val="28"/>
          <w:szCs w:val="28"/>
        </w:rPr>
        <w:t xml:space="preserve"> (контролера) ю</w:t>
      </w:r>
      <w:r>
        <w:rPr>
          <w:rFonts w:ascii="Times New Roman" w:hAnsi="Times New Roman"/>
          <w:sz w:val="28"/>
          <w:szCs w:val="28"/>
        </w:rPr>
        <w:t>ридичної особи (за даними СПФМ)</w:t>
      </w:r>
      <w:r w:rsidR="00C46923" w:rsidRPr="000E1E88">
        <w:rPr>
          <w:rFonts w:ascii="Times New Roman" w:hAnsi="Times New Roman"/>
          <w:sz w:val="28"/>
          <w:szCs w:val="28"/>
        </w:rPr>
        <w:t>, зокрема:</w:t>
      </w:r>
    </w:p>
    <w:p w:rsidR="00C46923" w:rsidRPr="007E1F74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1F74">
        <w:rPr>
          <w:rFonts w:ascii="Times New Roman" w:hAnsi="Times New Roman"/>
          <w:sz w:val="28"/>
          <w:szCs w:val="28"/>
        </w:rPr>
        <w:t xml:space="preserve">група </w:t>
      </w:r>
      <w:proofErr w:type="spellStart"/>
      <w:r w:rsidRPr="007E1F74">
        <w:rPr>
          <w:rFonts w:ascii="Times New Roman" w:hAnsi="Times New Roman"/>
          <w:sz w:val="28"/>
          <w:szCs w:val="28"/>
        </w:rPr>
        <w:t>вигодоодержувачів</w:t>
      </w:r>
      <w:proofErr w:type="spellEnd"/>
      <w:r w:rsidRPr="007E1F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1F74">
        <w:rPr>
          <w:rFonts w:ascii="Times New Roman" w:hAnsi="Times New Roman"/>
          <w:sz w:val="28"/>
          <w:szCs w:val="28"/>
        </w:rPr>
        <w:t>вигодонабувачів</w:t>
      </w:r>
      <w:proofErr w:type="spellEnd"/>
      <w:r w:rsidRPr="007E1F74">
        <w:rPr>
          <w:rFonts w:ascii="Times New Roman" w:hAnsi="Times New Roman"/>
          <w:sz w:val="28"/>
          <w:szCs w:val="28"/>
        </w:rPr>
        <w:t>), які здійснюють вирішальний вплив</w:t>
      </w:r>
      <w:r w:rsidR="00645D36">
        <w:rPr>
          <w:rFonts w:ascii="Times New Roman" w:hAnsi="Times New Roman"/>
          <w:sz w:val="28"/>
          <w:szCs w:val="28"/>
        </w:rPr>
        <w:t xml:space="preserve"> (за наявності)</w:t>
      </w:r>
      <w:r w:rsidRPr="007E1F74">
        <w:rPr>
          <w:rFonts w:ascii="Times New Roman" w:hAnsi="Times New Roman"/>
          <w:sz w:val="28"/>
          <w:szCs w:val="28"/>
        </w:rPr>
        <w:t>;</w:t>
      </w:r>
    </w:p>
    <w:p w:rsidR="00C46923" w:rsidRPr="007E1F74" w:rsidRDefault="004557AE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прізвище, ім’я, по </w:t>
      </w:r>
      <w:r w:rsidR="00714110">
        <w:rPr>
          <w:rFonts w:ascii="Times New Roman" w:hAnsi="Times New Roman"/>
          <w:sz w:val="28"/>
          <w:szCs w:val="28"/>
        </w:rPr>
        <w:t>батькові</w:t>
      </w:r>
      <w:r w:rsidR="00C46923" w:rsidRPr="007E1F74">
        <w:rPr>
          <w:rFonts w:ascii="Times New Roman" w:hAnsi="Times New Roman"/>
          <w:sz w:val="28"/>
          <w:szCs w:val="28"/>
        </w:rPr>
        <w:t xml:space="preserve"> </w:t>
      </w:r>
      <w:r w:rsidR="00645D36">
        <w:rPr>
          <w:rFonts w:ascii="Times New Roman" w:hAnsi="Times New Roman"/>
          <w:sz w:val="28"/>
          <w:szCs w:val="28"/>
        </w:rPr>
        <w:t xml:space="preserve">(за наявності) </w:t>
      </w:r>
      <w:r w:rsidR="00C46923" w:rsidRPr="007E1F74">
        <w:rPr>
          <w:rFonts w:ascii="Times New Roman" w:hAnsi="Times New Roman"/>
          <w:sz w:val="28"/>
          <w:szCs w:val="28"/>
        </w:rPr>
        <w:t>та дата народження;</w:t>
      </w:r>
    </w:p>
    <w:p w:rsidR="00C46923" w:rsidRPr="007E1F74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1F74">
        <w:rPr>
          <w:rFonts w:ascii="Times New Roman" w:hAnsi="Times New Roman"/>
          <w:sz w:val="28"/>
          <w:szCs w:val="28"/>
        </w:rPr>
        <w:t xml:space="preserve">код країни громадянства (зазначається цифровий код згідно </w:t>
      </w:r>
      <w:r w:rsidR="0029203E">
        <w:rPr>
          <w:rFonts w:ascii="Times New Roman" w:hAnsi="Times New Roman"/>
          <w:sz w:val="28"/>
          <w:szCs w:val="28"/>
        </w:rPr>
        <w:t>з Класифікацією (наказ Державної служби статистики</w:t>
      </w:r>
      <w:r w:rsidRPr="007E1F74">
        <w:rPr>
          <w:rFonts w:ascii="Times New Roman" w:hAnsi="Times New Roman"/>
          <w:sz w:val="28"/>
          <w:szCs w:val="28"/>
        </w:rPr>
        <w:t xml:space="preserve"> України від </w:t>
      </w:r>
      <w:r w:rsidRPr="007E1F74">
        <w:rPr>
          <w:rFonts w:ascii="Times New Roman" w:hAnsi="Times New Roman"/>
          <w:sz w:val="28"/>
          <w:szCs w:val="28"/>
        </w:rPr>
        <w:lastRenderedPageBreak/>
        <w:t>30.12.2013 № 426);</w:t>
      </w:r>
    </w:p>
    <w:p w:rsidR="00C46923" w:rsidRPr="007E1F74" w:rsidRDefault="0055113C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країни</w:t>
      </w:r>
      <w:r w:rsidR="000E1E88">
        <w:rPr>
          <w:rFonts w:ascii="Times New Roman" w:hAnsi="Times New Roman"/>
          <w:sz w:val="28"/>
          <w:szCs w:val="28"/>
        </w:rPr>
        <w:t xml:space="preserve"> постійного </w:t>
      </w:r>
      <w:r w:rsidR="00C46923" w:rsidRPr="007E1F74">
        <w:rPr>
          <w:rFonts w:ascii="Times New Roman" w:hAnsi="Times New Roman"/>
          <w:sz w:val="28"/>
          <w:szCs w:val="28"/>
        </w:rPr>
        <w:t xml:space="preserve">місця проживання (зазначається цифровий код згідно з Класифікацією (наказ </w:t>
      </w:r>
      <w:r w:rsidR="0029203E">
        <w:rPr>
          <w:rFonts w:ascii="Times New Roman" w:hAnsi="Times New Roman"/>
          <w:sz w:val="28"/>
          <w:szCs w:val="28"/>
        </w:rPr>
        <w:t>Державної служби статистики</w:t>
      </w:r>
      <w:r w:rsidR="0029203E" w:rsidRPr="007E1F74">
        <w:rPr>
          <w:rFonts w:ascii="Times New Roman" w:hAnsi="Times New Roman"/>
          <w:sz w:val="28"/>
          <w:szCs w:val="28"/>
        </w:rPr>
        <w:t xml:space="preserve"> України</w:t>
      </w:r>
      <w:r w:rsidR="00C46923" w:rsidRPr="007E1F74">
        <w:rPr>
          <w:rFonts w:ascii="Times New Roman" w:hAnsi="Times New Roman"/>
          <w:sz w:val="28"/>
          <w:szCs w:val="28"/>
        </w:rPr>
        <w:t xml:space="preserve"> від 30.12.2013 № 426);</w:t>
      </w:r>
    </w:p>
    <w:p w:rsidR="004577FE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E1F74">
        <w:rPr>
          <w:rFonts w:ascii="Times New Roman" w:hAnsi="Times New Roman"/>
          <w:sz w:val="28"/>
          <w:szCs w:val="28"/>
        </w:rPr>
        <w:t xml:space="preserve">ознака </w:t>
      </w:r>
      <w:r w:rsidR="000E1E88">
        <w:rPr>
          <w:rFonts w:ascii="Times New Roman" w:hAnsi="Times New Roman"/>
          <w:sz w:val="28"/>
          <w:szCs w:val="28"/>
        </w:rPr>
        <w:t xml:space="preserve">здійснення вирішального впливу </w:t>
      </w:r>
      <w:r w:rsidRPr="007E1F74">
        <w:rPr>
          <w:rFonts w:ascii="Times New Roman" w:hAnsi="Times New Roman"/>
          <w:sz w:val="28"/>
          <w:szCs w:val="28"/>
        </w:rPr>
        <w:t>на діяльність клієнта (зазначається на</w:t>
      </w:r>
      <w:r w:rsidR="00FF4E95">
        <w:rPr>
          <w:rFonts w:ascii="Times New Roman" w:hAnsi="Times New Roman"/>
          <w:sz w:val="28"/>
          <w:szCs w:val="28"/>
        </w:rPr>
        <w:t>зва впливу: прямий чи непрямий);</w:t>
      </w:r>
    </w:p>
    <w:p w:rsidR="00FF4E95" w:rsidRDefault="00FF4E95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відсоток частки в статутному капіталі юридичної особи або відсоток права голосу в юридичній особі (дані надаються к випадку здійснення прямого ви</w:t>
      </w:r>
      <w:r w:rsidR="004F7509">
        <w:rPr>
          <w:rFonts w:ascii="Times New Roman" w:hAnsi="Times New Roman"/>
          <w:sz w:val="28"/>
          <w:szCs w:val="28"/>
        </w:rPr>
        <w:t>рішального впливу у відсотках).</w:t>
      </w:r>
    </w:p>
    <w:p w:rsidR="008317EE" w:rsidRDefault="008317EE" w:rsidP="008317EE">
      <w:pPr>
        <w:pStyle w:val="aa"/>
        <w:widowControl w:val="0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682A0C" w:rsidRPr="004F7509" w:rsidRDefault="00BB7DCF" w:rsidP="004F7509">
      <w:pPr>
        <w:widowControl w:val="0"/>
        <w:shd w:val="clear" w:color="auto" w:fill="BDD6EE" w:themeFill="accent1" w:themeFillTint="66"/>
        <w:spacing w:before="120" w:after="12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F7509">
        <w:rPr>
          <w:rFonts w:ascii="Times New Roman" w:hAnsi="Times New Roman"/>
          <w:b/>
          <w:i/>
          <w:sz w:val="28"/>
          <w:szCs w:val="28"/>
        </w:rPr>
        <w:t xml:space="preserve">Щодо </w:t>
      </w:r>
      <w:r w:rsidR="00A219AA" w:rsidRPr="004F7509">
        <w:rPr>
          <w:rFonts w:ascii="Times New Roman" w:hAnsi="Times New Roman"/>
          <w:b/>
          <w:i/>
          <w:sz w:val="28"/>
          <w:szCs w:val="28"/>
        </w:rPr>
        <w:t>подання інформації про відмову</w:t>
      </w:r>
      <w:r w:rsidRPr="004F7509">
        <w:rPr>
          <w:rFonts w:ascii="Times New Roman" w:hAnsi="Times New Roman"/>
          <w:b/>
          <w:i/>
          <w:sz w:val="28"/>
          <w:szCs w:val="28"/>
        </w:rPr>
        <w:t xml:space="preserve"> від</w:t>
      </w:r>
      <w:r w:rsidR="00D10562" w:rsidRPr="004F7509">
        <w:rPr>
          <w:rFonts w:ascii="Times New Roman" w:hAnsi="Times New Roman"/>
          <w:b/>
          <w:i/>
          <w:sz w:val="28"/>
          <w:szCs w:val="28"/>
        </w:rPr>
        <w:t xml:space="preserve"> встановлення</w:t>
      </w:r>
      <w:r w:rsidR="000D0521" w:rsidRPr="004F7509">
        <w:rPr>
          <w:rFonts w:ascii="Times New Roman" w:hAnsi="Times New Roman"/>
          <w:b/>
          <w:i/>
          <w:sz w:val="28"/>
          <w:szCs w:val="28"/>
        </w:rPr>
        <w:t xml:space="preserve"> (підтримання)</w:t>
      </w:r>
      <w:r w:rsidR="00D10562" w:rsidRPr="004F7509">
        <w:rPr>
          <w:rFonts w:ascii="Times New Roman" w:hAnsi="Times New Roman"/>
          <w:b/>
          <w:i/>
          <w:sz w:val="28"/>
          <w:szCs w:val="28"/>
        </w:rPr>
        <w:t xml:space="preserve"> ділових відносин</w:t>
      </w:r>
      <w:r w:rsidR="00F64E27" w:rsidRPr="004F7509">
        <w:rPr>
          <w:rFonts w:ascii="Times New Roman" w:hAnsi="Times New Roman"/>
          <w:b/>
          <w:i/>
          <w:sz w:val="28"/>
          <w:szCs w:val="28"/>
        </w:rPr>
        <w:t>, проведення фінансової операції</w:t>
      </w:r>
    </w:p>
    <w:p w:rsidR="00C46923" w:rsidRPr="006F6A7D" w:rsidRDefault="00C46923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46923">
        <w:rPr>
          <w:rFonts w:ascii="Times New Roman" w:hAnsi="Times New Roman"/>
          <w:sz w:val="28"/>
          <w:szCs w:val="28"/>
        </w:rPr>
        <w:t xml:space="preserve">Рекомендуємо надавати дані щодо осіб, яким відмовлено від </w:t>
      </w:r>
      <w:r w:rsidRPr="006F6A7D">
        <w:rPr>
          <w:rFonts w:ascii="Times New Roman" w:hAnsi="Times New Roman"/>
          <w:sz w:val="28"/>
          <w:szCs w:val="28"/>
        </w:rPr>
        <w:t>встановлення (підтримання) ділових відносин</w:t>
      </w:r>
      <w:r w:rsidR="00714110">
        <w:rPr>
          <w:rFonts w:ascii="Times New Roman" w:hAnsi="Times New Roman"/>
          <w:sz w:val="28"/>
          <w:szCs w:val="28"/>
        </w:rPr>
        <w:t>,</w:t>
      </w:r>
      <w:r w:rsidR="004F7509" w:rsidRPr="006F6A7D">
        <w:rPr>
          <w:rFonts w:ascii="Times New Roman" w:hAnsi="Times New Roman"/>
          <w:sz w:val="28"/>
          <w:szCs w:val="28"/>
        </w:rPr>
        <w:t xml:space="preserve"> </w:t>
      </w:r>
      <w:r w:rsidR="00914D70" w:rsidRPr="006F6A7D">
        <w:rPr>
          <w:rFonts w:ascii="Times New Roman" w:hAnsi="Times New Roman"/>
          <w:sz w:val="28"/>
          <w:szCs w:val="28"/>
        </w:rPr>
        <w:t>структуровано у табличному вигляді (згідно</w:t>
      </w:r>
      <w:r w:rsidR="00714110">
        <w:rPr>
          <w:rFonts w:ascii="Times New Roman" w:hAnsi="Times New Roman"/>
          <w:sz w:val="28"/>
          <w:szCs w:val="28"/>
        </w:rPr>
        <w:t xml:space="preserve"> з додатком </w:t>
      </w:r>
      <w:r w:rsidR="00A77C4E" w:rsidRPr="006F6A7D">
        <w:rPr>
          <w:rFonts w:ascii="Times New Roman" w:hAnsi="Times New Roman"/>
          <w:sz w:val="28"/>
          <w:szCs w:val="28"/>
        </w:rPr>
        <w:t>2</w:t>
      </w:r>
      <w:r w:rsidR="00914D70" w:rsidRPr="006F6A7D">
        <w:rPr>
          <w:rFonts w:ascii="Times New Roman" w:hAnsi="Times New Roman"/>
          <w:sz w:val="28"/>
          <w:szCs w:val="28"/>
        </w:rPr>
        <w:t xml:space="preserve"> у форматі </w:t>
      </w:r>
      <w:proofErr w:type="spellStart"/>
      <w:r w:rsidR="00914D70" w:rsidRPr="006F6A7D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914D70" w:rsidRPr="006F6A7D">
        <w:rPr>
          <w:rFonts w:ascii="Times New Roman" w:hAnsi="Times New Roman"/>
          <w:sz w:val="28"/>
          <w:szCs w:val="28"/>
        </w:rPr>
        <w:t>)</w:t>
      </w:r>
      <w:r w:rsidRPr="006F6A7D">
        <w:rPr>
          <w:rFonts w:ascii="Times New Roman" w:hAnsi="Times New Roman"/>
          <w:sz w:val="28"/>
          <w:szCs w:val="28"/>
        </w:rPr>
        <w:t>, із зазначенням наступної інформації:</w:t>
      </w:r>
    </w:p>
    <w:p w:rsidR="00C46923" w:rsidRPr="000E1E88" w:rsidRDefault="000E1E88" w:rsidP="000E1E88">
      <w:pPr>
        <w:pStyle w:val="aa"/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Відомості про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 xml:space="preserve"> </w:t>
      </w:r>
      <w:r w:rsidR="0086053B" w:rsidRPr="000E1E88">
        <w:rPr>
          <w:rFonts w:ascii="Times New Roman" w:eastAsiaTheme="minorHAnsi" w:hAnsi="Times New Roman"/>
          <w:sz w:val="28"/>
          <w:szCs w:val="28"/>
        </w:rPr>
        <w:t>СПФМ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>, зокрема:</w:t>
      </w:r>
    </w:p>
    <w:p w:rsidR="00C46923" w:rsidRPr="000E1E88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0E1E88">
        <w:rPr>
          <w:rFonts w:ascii="Times New Roman" w:hAnsi="Times New Roman"/>
          <w:sz w:val="28"/>
          <w:szCs w:val="28"/>
        </w:rPr>
        <w:t xml:space="preserve">найменування </w:t>
      </w:r>
      <w:r w:rsidR="000E1E88">
        <w:rPr>
          <w:rFonts w:ascii="Times New Roman" w:hAnsi="Times New Roman"/>
          <w:sz w:val="28"/>
          <w:szCs w:val="28"/>
        </w:rPr>
        <w:t>суб’єкта</w:t>
      </w:r>
      <w:r w:rsidRPr="000E1E88">
        <w:rPr>
          <w:rFonts w:ascii="Times New Roman" w:hAnsi="Times New Roman"/>
          <w:sz w:val="28"/>
          <w:szCs w:val="28"/>
        </w:rPr>
        <w:t>;</w:t>
      </w:r>
    </w:p>
    <w:p w:rsidR="00C46923" w:rsidRPr="000E1E88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 w:rsidRPr="000E1E88">
        <w:rPr>
          <w:rFonts w:ascii="Times New Roman" w:hAnsi="Times New Roman"/>
          <w:sz w:val="28"/>
          <w:szCs w:val="28"/>
        </w:rPr>
        <w:t>код за ЄДРПОУ (РНОКПП фізичної особи);</w:t>
      </w:r>
    </w:p>
    <w:p w:rsidR="00B05532" w:rsidRPr="000E1E88" w:rsidRDefault="00B05532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714" w:hanging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обліковий ідентифікатор суб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єкта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23" w:rsidRDefault="000E1E88" w:rsidP="000E1E88">
      <w:pPr>
        <w:pStyle w:val="aa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>ид повідомлення (відмова від встановлення ч</w:t>
      </w:r>
      <w:r>
        <w:rPr>
          <w:rFonts w:ascii="Times New Roman" w:eastAsiaTheme="minorHAnsi" w:hAnsi="Times New Roman"/>
          <w:sz w:val="28"/>
          <w:szCs w:val="28"/>
        </w:rPr>
        <w:t>и підтримання ділових відносин).</w:t>
      </w:r>
    </w:p>
    <w:p w:rsidR="00C46923" w:rsidRDefault="000E1E88" w:rsidP="00EE3CD5">
      <w:pPr>
        <w:pStyle w:val="aa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0E1E88">
        <w:rPr>
          <w:rFonts w:ascii="Times New Roman" w:eastAsiaTheme="minorHAnsi" w:hAnsi="Times New Roman"/>
          <w:sz w:val="28"/>
          <w:szCs w:val="28"/>
        </w:rPr>
        <w:t>П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>ідстава відмови</w:t>
      </w:r>
      <w:r w:rsidR="00C46923" w:rsidRPr="000E1E88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0E1E88">
        <w:rPr>
          <w:rFonts w:ascii="Times New Roman" w:eastAsiaTheme="minorHAnsi" w:hAnsi="Times New Roman"/>
          <w:sz w:val="28"/>
          <w:szCs w:val="28"/>
        </w:rPr>
        <w:t>заповнюється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 xml:space="preserve"> у текстовому форматі</w:t>
      </w:r>
      <w:r w:rsidR="00C46923" w:rsidRPr="000E1E88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Pr="000E1E88">
        <w:rPr>
          <w:rFonts w:ascii="Times New Roman" w:eastAsiaTheme="minorHAnsi" w:hAnsi="Times New Roman"/>
          <w:sz w:val="28"/>
          <w:szCs w:val="28"/>
        </w:rPr>
        <w:t xml:space="preserve"> відповідно до статті 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>15 Закону</w:t>
      </w:r>
      <w:r w:rsidRPr="000E1E88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r w:rsidRPr="000E1E88">
        <w:rPr>
          <w:rFonts w:ascii="Times New Roman" w:eastAsiaTheme="minorHAnsi" w:hAnsi="Times New Roman"/>
          <w:sz w:val="28"/>
          <w:szCs w:val="28"/>
        </w:rPr>
        <w:t>обов’язковим є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 xml:space="preserve"> посилання на пункт та абзац </w:t>
      </w:r>
      <w:r>
        <w:rPr>
          <w:rFonts w:ascii="Times New Roman" w:eastAsiaTheme="minorHAnsi" w:hAnsi="Times New Roman"/>
          <w:sz w:val="28"/>
          <w:szCs w:val="28"/>
        </w:rPr>
        <w:t>статті Закону).</w:t>
      </w:r>
    </w:p>
    <w:p w:rsidR="00C46923" w:rsidRPr="000E1E88" w:rsidRDefault="000E1E88" w:rsidP="000E1E88">
      <w:pPr>
        <w:pStyle w:val="aa"/>
        <w:widowControl w:val="0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>ідомості про особу-клієнта, зокрема:</w:t>
      </w:r>
    </w:p>
    <w:p w:rsidR="00C46923" w:rsidRPr="000E1E88" w:rsidRDefault="00E05637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повне найменування (ПІБ для фізичної особи) особи</w:t>
      </w:r>
      <w:r w:rsidR="00C46923" w:rsidRPr="000E1E88">
        <w:rPr>
          <w:rFonts w:ascii="Times New Roman" w:hAnsi="Times New Roman"/>
          <w:sz w:val="28"/>
          <w:szCs w:val="28"/>
        </w:rPr>
        <w:t>;</w:t>
      </w:r>
    </w:p>
    <w:p w:rsidR="00C46923" w:rsidRPr="000E1E88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E1E88">
        <w:rPr>
          <w:rFonts w:ascii="Times New Roman" w:hAnsi="Times New Roman"/>
          <w:sz w:val="28"/>
          <w:szCs w:val="28"/>
        </w:rPr>
        <w:t>код за ЄДРПОУ/реєстраційний номер облікової картки платника податків</w:t>
      </w:r>
      <w:r w:rsidR="00636424">
        <w:rPr>
          <w:rFonts w:ascii="Times New Roman" w:hAnsi="Times New Roman"/>
          <w:sz w:val="28"/>
          <w:szCs w:val="28"/>
        </w:rPr>
        <w:t>/відомості про документ, що засвідчує фізичну особу</w:t>
      </w:r>
      <w:r w:rsidRPr="000E1E88">
        <w:rPr>
          <w:rFonts w:ascii="Times New Roman" w:hAnsi="Times New Roman"/>
          <w:sz w:val="28"/>
          <w:szCs w:val="28"/>
        </w:rPr>
        <w:t>;</w:t>
      </w:r>
    </w:p>
    <w:p w:rsidR="00C46923" w:rsidRPr="000E1E88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E1E88">
        <w:rPr>
          <w:rFonts w:ascii="Times New Roman" w:hAnsi="Times New Roman"/>
          <w:sz w:val="28"/>
          <w:szCs w:val="28"/>
        </w:rPr>
        <w:t>код особи згідно</w:t>
      </w:r>
      <w:r w:rsidR="00714110">
        <w:rPr>
          <w:rFonts w:ascii="Times New Roman" w:hAnsi="Times New Roman"/>
          <w:sz w:val="28"/>
          <w:szCs w:val="28"/>
        </w:rPr>
        <w:t xml:space="preserve"> з класифікацією</w:t>
      </w:r>
      <w:r w:rsidRPr="000E1E88">
        <w:rPr>
          <w:rFonts w:ascii="Times New Roman" w:hAnsi="Times New Roman"/>
          <w:sz w:val="28"/>
          <w:szCs w:val="28"/>
        </w:rPr>
        <w:t xml:space="preserve"> організаційно-правових форм господарювання</w:t>
      </w:r>
      <w:r w:rsidR="00762B56">
        <w:rPr>
          <w:rFonts w:ascii="Times New Roman" w:hAnsi="Times New Roman"/>
          <w:sz w:val="28"/>
          <w:szCs w:val="28"/>
        </w:rPr>
        <w:t xml:space="preserve"> (за наявності)</w:t>
      </w:r>
      <w:r w:rsidRPr="000E1E88">
        <w:rPr>
          <w:rFonts w:ascii="Times New Roman" w:hAnsi="Times New Roman"/>
          <w:sz w:val="28"/>
          <w:szCs w:val="28"/>
        </w:rPr>
        <w:t>;</w:t>
      </w:r>
    </w:p>
    <w:p w:rsidR="00C46923" w:rsidRPr="000E1E88" w:rsidRDefault="00C46923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E1E88">
        <w:rPr>
          <w:rFonts w:ascii="Times New Roman" w:hAnsi="Times New Roman"/>
          <w:sz w:val="28"/>
          <w:szCs w:val="28"/>
        </w:rPr>
        <w:t xml:space="preserve">ознака </w:t>
      </w:r>
      <w:proofErr w:type="spellStart"/>
      <w:r w:rsidRPr="000E1E88">
        <w:rPr>
          <w:rFonts w:ascii="Times New Roman" w:hAnsi="Times New Roman"/>
          <w:sz w:val="28"/>
          <w:szCs w:val="28"/>
        </w:rPr>
        <w:t>резидентності</w:t>
      </w:r>
      <w:proofErr w:type="spellEnd"/>
      <w:r w:rsidRPr="000E1E88">
        <w:rPr>
          <w:rFonts w:ascii="Times New Roman" w:hAnsi="Times New Roman"/>
          <w:sz w:val="28"/>
          <w:szCs w:val="28"/>
        </w:rPr>
        <w:t xml:space="preserve"> (резидент чи нерезидент);</w:t>
      </w:r>
    </w:p>
    <w:p w:rsidR="00C46923" w:rsidRPr="000E1E88" w:rsidRDefault="000E1E88" w:rsidP="000E1E88">
      <w:pPr>
        <w:pStyle w:val="aa"/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місцезнаходження</w:t>
      </w:r>
      <w:r w:rsidR="002831D7">
        <w:rPr>
          <w:rFonts w:ascii="Times New Roman" w:hAnsi="Times New Roman"/>
          <w:sz w:val="28"/>
          <w:szCs w:val="28"/>
        </w:rPr>
        <w:t xml:space="preserve"> або місце проживання</w:t>
      </w:r>
      <w:r w:rsidR="00D77595">
        <w:rPr>
          <w:rFonts w:ascii="Times New Roman" w:hAnsi="Times New Roman"/>
          <w:sz w:val="28"/>
          <w:szCs w:val="28"/>
        </w:rPr>
        <w:t xml:space="preserve">/місце перебування </w:t>
      </w:r>
      <w:r>
        <w:rPr>
          <w:rFonts w:ascii="Times New Roman" w:hAnsi="Times New Roman"/>
          <w:sz w:val="28"/>
          <w:szCs w:val="28"/>
        </w:rPr>
        <w:t xml:space="preserve"> особи-клієнта.</w:t>
      </w:r>
    </w:p>
    <w:p w:rsidR="00C46923" w:rsidRDefault="000E1E88" w:rsidP="000E1E88">
      <w:pPr>
        <w:pStyle w:val="aa"/>
        <w:widowControl w:val="0"/>
        <w:numPr>
          <w:ilvl w:val="0"/>
          <w:numId w:val="12"/>
        </w:numPr>
        <w:spacing w:before="120" w:after="12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</w:t>
      </w:r>
      <w:r w:rsidR="00C46923" w:rsidRPr="000E1E88">
        <w:rPr>
          <w:rFonts w:ascii="Times New Roman" w:eastAsiaTheme="minorHAnsi" w:hAnsi="Times New Roman"/>
          <w:sz w:val="28"/>
          <w:szCs w:val="28"/>
        </w:rPr>
        <w:t>оментар (основні результати здійснення належної перевірки особи-клієнта).</w:t>
      </w:r>
    </w:p>
    <w:p w:rsidR="004E4168" w:rsidRPr="004E4168" w:rsidRDefault="001232C1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4E4168" w:rsidRPr="004E4168">
        <w:rPr>
          <w:rFonts w:ascii="Times New Roman" w:hAnsi="Times New Roman"/>
          <w:sz w:val="28"/>
          <w:szCs w:val="28"/>
        </w:rPr>
        <w:t xml:space="preserve">нформацію про розбіжності між відомостями про </w:t>
      </w:r>
      <w:r w:rsidR="000E1E88">
        <w:rPr>
          <w:rFonts w:ascii="Times New Roman" w:hAnsi="Times New Roman"/>
          <w:sz w:val="28"/>
          <w:szCs w:val="28"/>
        </w:rPr>
        <w:t>КБВ,</w:t>
      </w:r>
      <w:r w:rsidR="004E4168" w:rsidRPr="004E4168">
        <w:rPr>
          <w:rFonts w:ascii="Times New Roman" w:hAnsi="Times New Roman"/>
          <w:sz w:val="28"/>
          <w:szCs w:val="28"/>
        </w:rPr>
        <w:t xml:space="preserve"> про відмову від встановлення (підтримання) ділових </w:t>
      </w:r>
      <w:r w:rsidR="00695D71">
        <w:rPr>
          <w:rFonts w:ascii="Times New Roman" w:hAnsi="Times New Roman"/>
          <w:sz w:val="28"/>
          <w:szCs w:val="28"/>
        </w:rPr>
        <w:t xml:space="preserve">відносин </w:t>
      </w:r>
      <w:r w:rsidR="004E4168" w:rsidRPr="004E4168">
        <w:rPr>
          <w:rFonts w:ascii="Times New Roman" w:hAnsi="Times New Roman"/>
          <w:sz w:val="28"/>
          <w:szCs w:val="28"/>
        </w:rPr>
        <w:t xml:space="preserve">рекомендуємо надавати </w:t>
      </w:r>
      <w:r w:rsidR="00EF668A">
        <w:rPr>
          <w:rFonts w:ascii="Times New Roman" w:hAnsi="Times New Roman"/>
          <w:sz w:val="28"/>
          <w:szCs w:val="28"/>
        </w:rPr>
        <w:t xml:space="preserve">разом із </w:t>
      </w:r>
      <w:r w:rsidR="004E4168" w:rsidRPr="004E4168">
        <w:rPr>
          <w:rFonts w:ascii="Times New Roman" w:hAnsi="Times New Roman"/>
          <w:sz w:val="28"/>
          <w:szCs w:val="28"/>
        </w:rPr>
        <w:t xml:space="preserve">супровідним листом, який має містити дату та номер реєстрації, за підписом керівника або відповідального працівника </w:t>
      </w:r>
      <w:r w:rsidR="0086053B">
        <w:rPr>
          <w:rFonts w:ascii="Times New Roman" w:hAnsi="Times New Roman"/>
          <w:sz w:val="28"/>
          <w:szCs w:val="28"/>
        </w:rPr>
        <w:t>СПФМ</w:t>
      </w:r>
      <w:r w:rsidR="004E4168" w:rsidRPr="004E4168">
        <w:rPr>
          <w:rFonts w:ascii="Times New Roman" w:hAnsi="Times New Roman"/>
          <w:sz w:val="28"/>
          <w:szCs w:val="28"/>
        </w:rPr>
        <w:t>.</w:t>
      </w:r>
    </w:p>
    <w:p w:rsidR="00EF668A" w:rsidRDefault="004E4168" w:rsidP="0086053B">
      <w:pPr>
        <w:widowControl w:val="0"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4168">
        <w:rPr>
          <w:rFonts w:ascii="Times New Roman" w:hAnsi="Times New Roman"/>
          <w:sz w:val="28"/>
          <w:szCs w:val="28"/>
        </w:rPr>
        <w:t xml:space="preserve">До листа/повідомлення можуть додаватись додаткові документи або </w:t>
      </w:r>
      <w:r w:rsidRPr="004E4168">
        <w:rPr>
          <w:rFonts w:ascii="Times New Roman" w:hAnsi="Times New Roman"/>
          <w:sz w:val="28"/>
          <w:szCs w:val="28"/>
        </w:rPr>
        <w:lastRenderedPageBreak/>
        <w:t xml:space="preserve">інша наявна інформація. </w:t>
      </w:r>
      <w:r w:rsidR="008601FB">
        <w:rPr>
          <w:rFonts w:ascii="Times New Roman" w:hAnsi="Times New Roman"/>
          <w:sz w:val="28"/>
          <w:szCs w:val="28"/>
        </w:rPr>
        <w:t>Т</w:t>
      </w:r>
      <w:r w:rsidRPr="004E4168">
        <w:rPr>
          <w:rFonts w:ascii="Times New Roman" w:hAnsi="Times New Roman"/>
          <w:sz w:val="28"/>
          <w:szCs w:val="28"/>
        </w:rPr>
        <w:t xml:space="preserve">акі повідомлення </w:t>
      </w:r>
      <w:r w:rsidR="00EF668A">
        <w:rPr>
          <w:rFonts w:ascii="Times New Roman" w:hAnsi="Times New Roman"/>
          <w:sz w:val="28"/>
          <w:szCs w:val="28"/>
        </w:rPr>
        <w:t>рекомендовано</w:t>
      </w:r>
      <w:r w:rsidRPr="004E4168">
        <w:rPr>
          <w:rFonts w:ascii="Times New Roman" w:hAnsi="Times New Roman"/>
          <w:sz w:val="28"/>
          <w:szCs w:val="28"/>
        </w:rPr>
        <w:t xml:space="preserve"> подавати до Держфінмоніторингу в паперовому вигляді поштою рекомендованим листом з повідомленням про вручення</w:t>
      </w:r>
      <w:r w:rsidR="00EF668A">
        <w:rPr>
          <w:rFonts w:ascii="Times New Roman" w:hAnsi="Times New Roman"/>
          <w:sz w:val="28"/>
          <w:szCs w:val="28"/>
        </w:rPr>
        <w:t>.</w:t>
      </w:r>
    </w:p>
    <w:sectPr w:rsidR="00EF668A" w:rsidSect="0086053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8E" w:rsidRDefault="001B208E" w:rsidP="002A3708">
      <w:pPr>
        <w:spacing w:after="0" w:line="240" w:lineRule="auto"/>
      </w:pPr>
      <w:r>
        <w:separator/>
      </w:r>
    </w:p>
  </w:endnote>
  <w:endnote w:type="continuationSeparator" w:id="0">
    <w:p w:rsidR="001B208E" w:rsidRDefault="001B208E" w:rsidP="002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8E" w:rsidRDefault="001B208E" w:rsidP="002A3708">
      <w:pPr>
        <w:spacing w:after="0" w:line="240" w:lineRule="auto"/>
      </w:pPr>
      <w:r>
        <w:separator/>
      </w:r>
    </w:p>
  </w:footnote>
  <w:footnote w:type="continuationSeparator" w:id="0">
    <w:p w:rsidR="001B208E" w:rsidRDefault="001B208E" w:rsidP="002A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495"/>
      <w:docPartObj>
        <w:docPartGallery w:val="Page Numbers (Top of Page)"/>
        <w:docPartUnique/>
      </w:docPartObj>
    </w:sdtPr>
    <w:sdtEndPr/>
    <w:sdtContent>
      <w:p w:rsidR="002A3708" w:rsidRDefault="002A3708">
        <w:pPr>
          <w:pStyle w:val="a5"/>
          <w:jc w:val="center"/>
        </w:pPr>
        <w:r w:rsidRPr="0086053B">
          <w:rPr>
            <w:rFonts w:ascii="Times New Roman" w:hAnsi="Times New Roman"/>
            <w:sz w:val="24"/>
            <w:szCs w:val="24"/>
          </w:rPr>
          <w:fldChar w:fldCharType="begin"/>
        </w:r>
        <w:r w:rsidRPr="0086053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6053B">
          <w:rPr>
            <w:rFonts w:ascii="Times New Roman" w:hAnsi="Times New Roman"/>
            <w:sz w:val="24"/>
            <w:szCs w:val="24"/>
          </w:rPr>
          <w:fldChar w:fldCharType="separate"/>
        </w:r>
        <w:r w:rsidR="002A6F09">
          <w:rPr>
            <w:rFonts w:ascii="Times New Roman" w:hAnsi="Times New Roman"/>
            <w:noProof/>
            <w:sz w:val="24"/>
            <w:szCs w:val="24"/>
          </w:rPr>
          <w:t>8</w:t>
        </w:r>
        <w:r w:rsidRPr="0086053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6E0"/>
    <w:multiLevelType w:val="hybridMultilevel"/>
    <w:tmpl w:val="F02C767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BD0CE0"/>
    <w:multiLevelType w:val="hybridMultilevel"/>
    <w:tmpl w:val="8DE61CC4"/>
    <w:lvl w:ilvl="0" w:tplc="0996175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6211A5"/>
    <w:multiLevelType w:val="multilevel"/>
    <w:tmpl w:val="3468F5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F066C0"/>
    <w:multiLevelType w:val="hybridMultilevel"/>
    <w:tmpl w:val="50BA44D6"/>
    <w:lvl w:ilvl="0" w:tplc="1D42BF24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1F7DB2"/>
    <w:multiLevelType w:val="hybridMultilevel"/>
    <w:tmpl w:val="D8000086"/>
    <w:lvl w:ilvl="0" w:tplc="5FBC029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F9113D4"/>
    <w:multiLevelType w:val="hybridMultilevel"/>
    <w:tmpl w:val="A07425A0"/>
    <w:lvl w:ilvl="0" w:tplc="81E6E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C3A94"/>
    <w:multiLevelType w:val="hybridMultilevel"/>
    <w:tmpl w:val="B2D65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5FE5"/>
    <w:multiLevelType w:val="hybridMultilevel"/>
    <w:tmpl w:val="2D44E9DA"/>
    <w:lvl w:ilvl="0" w:tplc="8B3E5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F01B5"/>
    <w:multiLevelType w:val="hybridMultilevel"/>
    <w:tmpl w:val="6506F5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334F"/>
    <w:multiLevelType w:val="hybridMultilevel"/>
    <w:tmpl w:val="349221E4"/>
    <w:lvl w:ilvl="0" w:tplc="BFA00F16">
      <w:start w:val="1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97652E2"/>
    <w:multiLevelType w:val="hybridMultilevel"/>
    <w:tmpl w:val="DAA0CF90"/>
    <w:lvl w:ilvl="0" w:tplc="8B3E5C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F57476"/>
    <w:multiLevelType w:val="hybridMultilevel"/>
    <w:tmpl w:val="2D4661B8"/>
    <w:lvl w:ilvl="0" w:tplc="8B3E5CC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F729A"/>
    <w:multiLevelType w:val="hybridMultilevel"/>
    <w:tmpl w:val="7AB85E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057EB"/>
    <w:multiLevelType w:val="hybridMultilevel"/>
    <w:tmpl w:val="3286924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8FA0BD3"/>
    <w:multiLevelType w:val="hybridMultilevel"/>
    <w:tmpl w:val="B6DCC78C"/>
    <w:lvl w:ilvl="0" w:tplc="62C8E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33F30"/>
    <w:multiLevelType w:val="hybridMultilevel"/>
    <w:tmpl w:val="ACD2A2D0"/>
    <w:lvl w:ilvl="0" w:tplc="1D42BF24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3E970E7"/>
    <w:multiLevelType w:val="multilevel"/>
    <w:tmpl w:val="583A0C90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5D96825"/>
    <w:multiLevelType w:val="multilevel"/>
    <w:tmpl w:val="51D000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307646"/>
    <w:multiLevelType w:val="hybridMultilevel"/>
    <w:tmpl w:val="50FA1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8"/>
  </w:num>
  <w:num w:numId="15">
    <w:abstractNumId w:val="7"/>
  </w:num>
  <w:num w:numId="16">
    <w:abstractNumId w:val="10"/>
  </w:num>
  <w:num w:numId="17">
    <w:abstractNumId w:val="14"/>
  </w:num>
  <w:num w:numId="18">
    <w:abstractNumId w:val="17"/>
  </w:num>
  <w:num w:numId="19">
    <w:abstractNumId w:val="16"/>
  </w:num>
  <w:num w:numId="20">
    <w:abstractNumId w:val="5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6"/>
    <w:rsid w:val="0000044D"/>
    <w:rsid w:val="000138DD"/>
    <w:rsid w:val="000145E6"/>
    <w:rsid w:val="00022E94"/>
    <w:rsid w:val="00057ABF"/>
    <w:rsid w:val="00073ABC"/>
    <w:rsid w:val="0008024C"/>
    <w:rsid w:val="00090621"/>
    <w:rsid w:val="000B5812"/>
    <w:rsid w:val="000C1F4A"/>
    <w:rsid w:val="000D0521"/>
    <w:rsid w:val="000D4BAC"/>
    <w:rsid w:val="000E1E88"/>
    <w:rsid w:val="000E38F4"/>
    <w:rsid w:val="000F4BDA"/>
    <w:rsid w:val="000F5B60"/>
    <w:rsid w:val="0010024C"/>
    <w:rsid w:val="001222E4"/>
    <w:rsid w:val="001232C1"/>
    <w:rsid w:val="00137F39"/>
    <w:rsid w:val="00143D98"/>
    <w:rsid w:val="00153371"/>
    <w:rsid w:val="001832BC"/>
    <w:rsid w:val="001A1714"/>
    <w:rsid w:val="001A55D3"/>
    <w:rsid w:val="001A679C"/>
    <w:rsid w:val="001B0835"/>
    <w:rsid w:val="001B1F29"/>
    <w:rsid w:val="001B208E"/>
    <w:rsid w:val="001C6E02"/>
    <w:rsid w:val="001E0FD0"/>
    <w:rsid w:val="00206652"/>
    <w:rsid w:val="002071D3"/>
    <w:rsid w:val="002137E7"/>
    <w:rsid w:val="0021513F"/>
    <w:rsid w:val="002201B3"/>
    <w:rsid w:val="00220B6B"/>
    <w:rsid w:val="00223E05"/>
    <w:rsid w:val="00226BA8"/>
    <w:rsid w:val="00232C11"/>
    <w:rsid w:val="00234855"/>
    <w:rsid w:val="00235D49"/>
    <w:rsid w:val="00251DCE"/>
    <w:rsid w:val="0025400C"/>
    <w:rsid w:val="00255D32"/>
    <w:rsid w:val="00261759"/>
    <w:rsid w:val="002749E5"/>
    <w:rsid w:val="002831D7"/>
    <w:rsid w:val="002901AD"/>
    <w:rsid w:val="0029203E"/>
    <w:rsid w:val="002A1E83"/>
    <w:rsid w:val="002A3708"/>
    <w:rsid w:val="002A6F09"/>
    <w:rsid w:val="002A777F"/>
    <w:rsid w:val="002B0E2C"/>
    <w:rsid w:val="002B181B"/>
    <w:rsid w:val="002B3637"/>
    <w:rsid w:val="002B36D4"/>
    <w:rsid w:val="002B75E6"/>
    <w:rsid w:val="002C6FDB"/>
    <w:rsid w:val="002D0047"/>
    <w:rsid w:val="002D3C0E"/>
    <w:rsid w:val="002E6921"/>
    <w:rsid w:val="002F2082"/>
    <w:rsid w:val="003218FB"/>
    <w:rsid w:val="003222CE"/>
    <w:rsid w:val="00330D32"/>
    <w:rsid w:val="00331065"/>
    <w:rsid w:val="003356C3"/>
    <w:rsid w:val="003432A5"/>
    <w:rsid w:val="003471E0"/>
    <w:rsid w:val="00351830"/>
    <w:rsid w:val="00361516"/>
    <w:rsid w:val="00363BBA"/>
    <w:rsid w:val="0038544A"/>
    <w:rsid w:val="00395058"/>
    <w:rsid w:val="00396F5A"/>
    <w:rsid w:val="003B082E"/>
    <w:rsid w:val="003C7155"/>
    <w:rsid w:val="003C728F"/>
    <w:rsid w:val="003D7B63"/>
    <w:rsid w:val="003E4D25"/>
    <w:rsid w:val="00403688"/>
    <w:rsid w:val="004101AF"/>
    <w:rsid w:val="004246C5"/>
    <w:rsid w:val="00430DD1"/>
    <w:rsid w:val="00437029"/>
    <w:rsid w:val="00453686"/>
    <w:rsid w:val="004557AE"/>
    <w:rsid w:val="004577FE"/>
    <w:rsid w:val="004732F8"/>
    <w:rsid w:val="004743A8"/>
    <w:rsid w:val="00485CC3"/>
    <w:rsid w:val="00487F30"/>
    <w:rsid w:val="004D1709"/>
    <w:rsid w:val="004E4168"/>
    <w:rsid w:val="004E57D8"/>
    <w:rsid w:val="004F7509"/>
    <w:rsid w:val="004F7F55"/>
    <w:rsid w:val="00506E1B"/>
    <w:rsid w:val="00524F28"/>
    <w:rsid w:val="0052597D"/>
    <w:rsid w:val="0053112D"/>
    <w:rsid w:val="0053162F"/>
    <w:rsid w:val="00542F30"/>
    <w:rsid w:val="0055113C"/>
    <w:rsid w:val="005526E9"/>
    <w:rsid w:val="005543E0"/>
    <w:rsid w:val="00583027"/>
    <w:rsid w:val="00586C59"/>
    <w:rsid w:val="005B1B22"/>
    <w:rsid w:val="005B4076"/>
    <w:rsid w:val="005C2D79"/>
    <w:rsid w:val="006161EA"/>
    <w:rsid w:val="006259F0"/>
    <w:rsid w:val="006351AA"/>
    <w:rsid w:val="00636424"/>
    <w:rsid w:val="00644418"/>
    <w:rsid w:val="00645D36"/>
    <w:rsid w:val="006468D4"/>
    <w:rsid w:val="006476B8"/>
    <w:rsid w:val="00647824"/>
    <w:rsid w:val="0066234D"/>
    <w:rsid w:val="006731BE"/>
    <w:rsid w:val="00682A0C"/>
    <w:rsid w:val="00691142"/>
    <w:rsid w:val="00691F69"/>
    <w:rsid w:val="006947F2"/>
    <w:rsid w:val="00695D4D"/>
    <w:rsid w:val="00695D71"/>
    <w:rsid w:val="00696385"/>
    <w:rsid w:val="006A0200"/>
    <w:rsid w:val="006F6A7D"/>
    <w:rsid w:val="0070228A"/>
    <w:rsid w:val="00714110"/>
    <w:rsid w:val="00716610"/>
    <w:rsid w:val="0072425B"/>
    <w:rsid w:val="007342BA"/>
    <w:rsid w:val="00760590"/>
    <w:rsid w:val="007607D7"/>
    <w:rsid w:val="00762B56"/>
    <w:rsid w:val="007702F0"/>
    <w:rsid w:val="00782EFE"/>
    <w:rsid w:val="00786FD0"/>
    <w:rsid w:val="007911CB"/>
    <w:rsid w:val="00792429"/>
    <w:rsid w:val="007946C2"/>
    <w:rsid w:val="00795AB6"/>
    <w:rsid w:val="00797D8B"/>
    <w:rsid w:val="007A04E2"/>
    <w:rsid w:val="007A6259"/>
    <w:rsid w:val="007A6D1E"/>
    <w:rsid w:val="007A7EB5"/>
    <w:rsid w:val="007C7917"/>
    <w:rsid w:val="007E1725"/>
    <w:rsid w:val="007E47DF"/>
    <w:rsid w:val="007E7987"/>
    <w:rsid w:val="00800DB9"/>
    <w:rsid w:val="00803EFD"/>
    <w:rsid w:val="00807CF2"/>
    <w:rsid w:val="008119FA"/>
    <w:rsid w:val="008317EE"/>
    <w:rsid w:val="008428C0"/>
    <w:rsid w:val="008601FB"/>
    <w:rsid w:val="0086053B"/>
    <w:rsid w:val="00876117"/>
    <w:rsid w:val="00886F49"/>
    <w:rsid w:val="00894A4E"/>
    <w:rsid w:val="00897AE7"/>
    <w:rsid w:val="008A1149"/>
    <w:rsid w:val="008C1343"/>
    <w:rsid w:val="008D39B3"/>
    <w:rsid w:val="008D44EE"/>
    <w:rsid w:val="008D6447"/>
    <w:rsid w:val="008D64AE"/>
    <w:rsid w:val="008D6995"/>
    <w:rsid w:val="00900544"/>
    <w:rsid w:val="00910420"/>
    <w:rsid w:val="00914D70"/>
    <w:rsid w:val="0092732D"/>
    <w:rsid w:val="00933AB2"/>
    <w:rsid w:val="00936D8E"/>
    <w:rsid w:val="00943432"/>
    <w:rsid w:val="00962E5D"/>
    <w:rsid w:val="0097169A"/>
    <w:rsid w:val="0097214A"/>
    <w:rsid w:val="00981857"/>
    <w:rsid w:val="00987E3F"/>
    <w:rsid w:val="00990FE1"/>
    <w:rsid w:val="009940DF"/>
    <w:rsid w:val="00996AB1"/>
    <w:rsid w:val="009A67E4"/>
    <w:rsid w:val="009B44D9"/>
    <w:rsid w:val="009C08BF"/>
    <w:rsid w:val="009C1E04"/>
    <w:rsid w:val="009C4090"/>
    <w:rsid w:val="009E1BFB"/>
    <w:rsid w:val="009E3173"/>
    <w:rsid w:val="009E5BF6"/>
    <w:rsid w:val="009F0C8E"/>
    <w:rsid w:val="009F164E"/>
    <w:rsid w:val="00A00A6A"/>
    <w:rsid w:val="00A219AA"/>
    <w:rsid w:val="00A31AA3"/>
    <w:rsid w:val="00A36AEF"/>
    <w:rsid w:val="00A42316"/>
    <w:rsid w:val="00A43AA0"/>
    <w:rsid w:val="00A515BE"/>
    <w:rsid w:val="00A52A56"/>
    <w:rsid w:val="00A5653D"/>
    <w:rsid w:val="00A56EFE"/>
    <w:rsid w:val="00A667A6"/>
    <w:rsid w:val="00A77C4E"/>
    <w:rsid w:val="00A820E4"/>
    <w:rsid w:val="00A84A90"/>
    <w:rsid w:val="00A85346"/>
    <w:rsid w:val="00A91184"/>
    <w:rsid w:val="00AA6B60"/>
    <w:rsid w:val="00AB2269"/>
    <w:rsid w:val="00B05532"/>
    <w:rsid w:val="00B148CB"/>
    <w:rsid w:val="00B275E3"/>
    <w:rsid w:val="00B301F5"/>
    <w:rsid w:val="00B547AA"/>
    <w:rsid w:val="00B6356C"/>
    <w:rsid w:val="00B661F4"/>
    <w:rsid w:val="00B7706E"/>
    <w:rsid w:val="00B83990"/>
    <w:rsid w:val="00B84397"/>
    <w:rsid w:val="00B90244"/>
    <w:rsid w:val="00B908D1"/>
    <w:rsid w:val="00B91884"/>
    <w:rsid w:val="00B95EE4"/>
    <w:rsid w:val="00BB0094"/>
    <w:rsid w:val="00BB00E5"/>
    <w:rsid w:val="00BB7DCF"/>
    <w:rsid w:val="00BC454B"/>
    <w:rsid w:val="00BD6D78"/>
    <w:rsid w:val="00BD6E9C"/>
    <w:rsid w:val="00BE652A"/>
    <w:rsid w:val="00C20E02"/>
    <w:rsid w:val="00C2268A"/>
    <w:rsid w:val="00C26704"/>
    <w:rsid w:val="00C33DF8"/>
    <w:rsid w:val="00C46923"/>
    <w:rsid w:val="00C5579B"/>
    <w:rsid w:val="00C6264F"/>
    <w:rsid w:val="00C80B07"/>
    <w:rsid w:val="00C87B07"/>
    <w:rsid w:val="00C9053B"/>
    <w:rsid w:val="00CA203C"/>
    <w:rsid w:val="00CB08E9"/>
    <w:rsid w:val="00CB575B"/>
    <w:rsid w:val="00CC1790"/>
    <w:rsid w:val="00CC4C0D"/>
    <w:rsid w:val="00CC5635"/>
    <w:rsid w:val="00CF2C23"/>
    <w:rsid w:val="00CF5566"/>
    <w:rsid w:val="00D10562"/>
    <w:rsid w:val="00D20E16"/>
    <w:rsid w:val="00D22607"/>
    <w:rsid w:val="00D422A4"/>
    <w:rsid w:val="00D510C5"/>
    <w:rsid w:val="00D7585C"/>
    <w:rsid w:val="00D77595"/>
    <w:rsid w:val="00D80BA1"/>
    <w:rsid w:val="00D97EF1"/>
    <w:rsid w:val="00DA38EF"/>
    <w:rsid w:val="00DB58AA"/>
    <w:rsid w:val="00DC13D1"/>
    <w:rsid w:val="00DC1A3C"/>
    <w:rsid w:val="00DC60D7"/>
    <w:rsid w:val="00DD3D05"/>
    <w:rsid w:val="00E05637"/>
    <w:rsid w:val="00E06C63"/>
    <w:rsid w:val="00E33C12"/>
    <w:rsid w:val="00E54D01"/>
    <w:rsid w:val="00E6185A"/>
    <w:rsid w:val="00E62891"/>
    <w:rsid w:val="00E77467"/>
    <w:rsid w:val="00E77A6C"/>
    <w:rsid w:val="00E82825"/>
    <w:rsid w:val="00E82BF2"/>
    <w:rsid w:val="00E905E0"/>
    <w:rsid w:val="00EB25D4"/>
    <w:rsid w:val="00EC3D45"/>
    <w:rsid w:val="00EC675F"/>
    <w:rsid w:val="00ED2F3C"/>
    <w:rsid w:val="00ED5E50"/>
    <w:rsid w:val="00ED6015"/>
    <w:rsid w:val="00ED6F29"/>
    <w:rsid w:val="00EF2373"/>
    <w:rsid w:val="00EF668A"/>
    <w:rsid w:val="00F00091"/>
    <w:rsid w:val="00F06092"/>
    <w:rsid w:val="00F072D5"/>
    <w:rsid w:val="00F17697"/>
    <w:rsid w:val="00F23233"/>
    <w:rsid w:val="00F250E8"/>
    <w:rsid w:val="00F25E84"/>
    <w:rsid w:val="00F35981"/>
    <w:rsid w:val="00F36582"/>
    <w:rsid w:val="00F606A1"/>
    <w:rsid w:val="00F6283A"/>
    <w:rsid w:val="00F64E27"/>
    <w:rsid w:val="00F76D1E"/>
    <w:rsid w:val="00FB05E0"/>
    <w:rsid w:val="00FB42A0"/>
    <w:rsid w:val="00FD6990"/>
    <w:rsid w:val="00FE317E"/>
    <w:rsid w:val="00FF2A6A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3B2BC-7151-4A06-9840-7A51851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5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1F4A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2A370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2A3708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2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43A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B575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  <w:style w:type="character" w:styleId="ac">
    <w:name w:val="annotation reference"/>
    <w:basedOn w:val="a0"/>
    <w:uiPriority w:val="99"/>
    <w:semiHidden/>
    <w:unhideWhenUsed/>
    <w:rsid w:val="00DC13D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C13D1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DC13D1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13D1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DC13D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B8E5-B8D6-48FF-A40E-C26DEA3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10580</Words>
  <Characters>6031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Доманська Леся Анатоліївна</dc:creator>
  <cp:keywords/>
  <dc:description/>
  <cp:lastModifiedBy>Савчук Віктор Іванович</cp:lastModifiedBy>
  <cp:revision>43</cp:revision>
  <cp:lastPrinted>2020-04-13T11:10:00Z</cp:lastPrinted>
  <dcterms:created xsi:type="dcterms:W3CDTF">2020-04-21T12:13:00Z</dcterms:created>
  <dcterms:modified xsi:type="dcterms:W3CDTF">2020-04-24T12:43:00Z</dcterms:modified>
</cp:coreProperties>
</file>