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89" w:rsidRDefault="00880789" w:rsidP="00246162">
      <w:pPr>
        <w:widowControl w:val="0"/>
        <w:spacing w:after="0" w:line="240" w:lineRule="auto"/>
        <w:jc w:val="center"/>
        <w:rPr>
          <w:rFonts w:ascii="Times New Roman" w:hAnsi="Times New Roman"/>
          <w:b/>
          <w:sz w:val="28"/>
          <w:szCs w:val="28"/>
        </w:rPr>
      </w:pPr>
      <w:r w:rsidRPr="006E79B7">
        <w:rPr>
          <w:rFonts w:ascii="Times New Roman" w:hAnsi="Times New Roman"/>
          <w:b/>
          <w:sz w:val="28"/>
          <w:szCs w:val="28"/>
        </w:rPr>
        <w:t>РЕКОМЕНДАЦІЇ</w:t>
      </w:r>
    </w:p>
    <w:p w:rsidR="00BD6E9C" w:rsidRDefault="004B7B2F" w:rsidP="00246162">
      <w:pPr>
        <w:widowControl w:val="0"/>
        <w:spacing w:after="0" w:line="240" w:lineRule="auto"/>
        <w:jc w:val="center"/>
        <w:rPr>
          <w:rFonts w:ascii="Times New Roman" w:hAnsi="Times New Roman"/>
          <w:b/>
          <w:sz w:val="28"/>
          <w:szCs w:val="28"/>
        </w:rPr>
      </w:pPr>
      <w:r>
        <w:rPr>
          <w:rFonts w:ascii="Times New Roman" w:hAnsi="Times New Roman"/>
          <w:b/>
          <w:sz w:val="28"/>
          <w:szCs w:val="28"/>
        </w:rPr>
        <w:t>щодо постановки на облік</w:t>
      </w:r>
      <w:r w:rsidRPr="004B7B2F">
        <w:rPr>
          <w:rFonts w:ascii="Times New Roman" w:hAnsi="Times New Roman"/>
          <w:b/>
          <w:sz w:val="28"/>
          <w:szCs w:val="28"/>
        </w:rPr>
        <w:t xml:space="preserve"> </w:t>
      </w:r>
      <w:r w:rsidR="00F567C2">
        <w:rPr>
          <w:rFonts w:ascii="Times New Roman" w:hAnsi="Times New Roman"/>
          <w:b/>
          <w:sz w:val="28"/>
          <w:szCs w:val="28"/>
        </w:rPr>
        <w:t>у</w:t>
      </w:r>
      <w:r w:rsidR="00D2248F" w:rsidRPr="00EB25D4">
        <w:rPr>
          <w:rFonts w:ascii="Times New Roman" w:hAnsi="Times New Roman"/>
          <w:b/>
          <w:sz w:val="28"/>
          <w:szCs w:val="28"/>
        </w:rPr>
        <w:t xml:space="preserve"> Держфінмоніторингу</w:t>
      </w:r>
      <w:r w:rsidR="00880789">
        <w:rPr>
          <w:rFonts w:ascii="Times New Roman" w:hAnsi="Times New Roman"/>
          <w:b/>
          <w:sz w:val="28"/>
          <w:szCs w:val="28"/>
        </w:rPr>
        <w:t xml:space="preserve"> </w:t>
      </w:r>
      <w:r w:rsidR="00246162">
        <w:rPr>
          <w:rFonts w:ascii="Times New Roman" w:hAnsi="Times New Roman"/>
          <w:b/>
          <w:sz w:val="28"/>
          <w:szCs w:val="28"/>
        </w:rPr>
        <w:t xml:space="preserve">з 28 квітня </w:t>
      </w:r>
      <w:r w:rsidR="00F567C2">
        <w:rPr>
          <w:rFonts w:ascii="Times New Roman" w:hAnsi="Times New Roman"/>
          <w:b/>
          <w:sz w:val="28"/>
          <w:szCs w:val="28"/>
        </w:rPr>
        <w:t>2020 року</w:t>
      </w:r>
      <w:r w:rsidR="00D2248F" w:rsidRPr="00EB25D4">
        <w:rPr>
          <w:rFonts w:ascii="Times New Roman" w:hAnsi="Times New Roman"/>
          <w:b/>
          <w:sz w:val="28"/>
          <w:szCs w:val="28"/>
        </w:rPr>
        <w:t xml:space="preserve"> </w:t>
      </w:r>
      <w:r w:rsidRPr="00246162">
        <w:rPr>
          <w:rFonts w:ascii="Times New Roman" w:hAnsi="Times New Roman"/>
          <w:b/>
          <w:sz w:val="28"/>
          <w:szCs w:val="28"/>
        </w:rPr>
        <w:t>суб’єктів первинного фінансового</w:t>
      </w:r>
      <w:r>
        <w:rPr>
          <w:rFonts w:ascii="Times New Roman" w:hAnsi="Times New Roman"/>
          <w:b/>
          <w:sz w:val="28"/>
          <w:szCs w:val="28"/>
        </w:rPr>
        <w:t xml:space="preserve"> моніторингу</w:t>
      </w:r>
    </w:p>
    <w:p w:rsidR="00880789" w:rsidRPr="00EB25D4" w:rsidRDefault="00880789" w:rsidP="00246162">
      <w:pPr>
        <w:widowControl w:val="0"/>
        <w:spacing w:after="0" w:line="240" w:lineRule="auto"/>
        <w:jc w:val="center"/>
        <w:rPr>
          <w:rFonts w:ascii="Times New Roman" w:hAnsi="Times New Roman"/>
          <w:b/>
          <w:sz w:val="28"/>
          <w:szCs w:val="28"/>
        </w:rPr>
      </w:pPr>
    </w:p>
    <w:p w:rsidR="000C1F4A" w:rsidRDefault="00716610" w:rsidP="00246162">
      <w:pPr>
        <w:widowControl w:val="0"/>
        <w:spacing w:before="120" w:after="120" w:line="240" w:lineRule="auto"/>
        <w:ind w:firstLine="708"/>
        <w:jc w:val="both"/>
        <w:rPr>
          <w:rFonts w:ascii="Times New Roman" w:hAnsi="Times New Roman"/>
          <w:sz w:val="28"/>
          <w:szCs w:val="28"/>
        </w:rPr>
      </w:pPr>
      <w:r w:rsidRPr="007A6D1E">
        <w:rPr>
          <w:rFonts w:ascii="Times New Roman" w:hAnsi="Times New Roman"/>
          <w:sz w:val="28"/>
          <w:szCs w:val="28"/>
        </w:rPr>
        <w:t>28.04.2020 набирає чинності Закон України</w:t>
      </w:r>
      <w:r w:rsidR="0053112D" w:rsidRPr="007A6D1E">
        <w:rPr>
          <w:rFonts w:ascii="Times New Roman" w:hAnsi="Times New Roman"/>
          <w:bCs/>
          <w:iCs/>
          <w:sz w:val="28"/>
          <w:szCs w:val="28"/>
        </w:rPr>
        <w:t xml:space="preserve"> від 06.12.2019 № 361-ІХ</w:t>
      </w:r>
      <w:r w:rsidRPr="007A6D1E">
        <w:rPr>
          <w:rFonts w:ascii="Times New Roman" w:hAnsi="Times New Roman"/>
          <w:sz w:val="28"/>
          <w:szCs w:val="28"/>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DA38EF" w:rsidRPr="007A6D1E">
        <w:rPr>
          <w:rFonts w:ascii="Times New Roman" w:hAnsi="Times New Roman"/>
          <w:sz w:val="28"/>
          <w:szCs w:val="28"/>
        </w:rPr>
        <w:t xml:space="preserve"> (далі –</w:t>
      </w:r>
      <w:r w:rsidR="000C1F4A" w:rsidRPr="007A6D1E">
        <w:rPr>
          <w:rFonts w:ascii="Times New Roman" w:hAnsi="Times New Roman"/>
          <w:sz w:val="28"/>
          <w:szCs w:val="28"/>
        </w:rPr>
        <w:t xml:space="preserve"> Закон).</w:t>
      </w:r>
      <w:r w:rsidR="000E38F4" w:rsidRPr="007A6D1E">
        <w:rPr>
          <w:rFonts w:ascii="Times New Roman" w:hAnsi="Times New Roman"/>
          <w:sz w:val="28"/>
          <w:szCs w:val="28"/>
        </w:rPr>
        <w:t xml:space="preserve"> </w:t>
      </w:r>
    </w:p>
    <w:p w:rsidR="006C0A61" w:rsidRDefault="006C0A61" w:rsidP="00246162">
      <w:pPr>
        <w:widowControl w:val="0"/>
        <w:spacing w:before="120" w:after="120" w:line="240" w:lineRule="auto"/>
        <w:ind w:firstLine="708"/>
        <w:jc w:val="both"/>
        <w:rPr>
          <w:rFonts w:ascii="Times New Roman" w:hAnsi="Times New Roman"/>
          <w:sz w:val="28"/>
          <w:szCs w:val="28"/>
        </w:rPr>
      </w:pPr>
      <w:r>
        <w:rPr>
          <w:rFonts w:ascii="Times New Roman" w:hAnsi="Times New Roman"/>
          <w:sz w:val="28"/>
          <w:szCs w:val="28"/>
        </w:rPr>
        <w:t>Відповідно до пункту 7 розділу Х Закону</w:t>
      </w:r>
      <w:r w:rsidR="006E79B7">
        <w:rPr>
          <w:rFonts w:ascii="Times New Roman" w:hAnsi="Times New Roman"/>
          <w:sz w:val="28"/>
          <w:szCs w:val="28"/>
        </w:rPr>
        <w:t>,</w:t>
      </w:r>
      <w:r>
        <w:rPr>
          <w:rFonts w:ascii="Times New Roman" w:hAnsi="Times New Roman"/>
          <w:sz w:val="28"/>
          <w:szCs w:val="28"/>
        </w:rPr>
        <w:t xml:space="preserve"> Кабінет Міністрів України зобов</w:t>
      </w:r>
      <w:r w:rsidRPr="00920D44">
        <w:rPr>
          <w:rFonts w:ascii="Times New Roman" w:hAnsi="Times New Roman"/>
          <w:sz w:val="28"/>
          <w:szCs w:val="28"/>
        </w:rPr>
        <w:t>’</w:t>
      </w:r>
      <w:r>
        <w:rPr>
          <w:rFonts w:ascii="Times New Roman" w:hAnsi="Times New Roman"/>
          <w:sz w:val="28"/>
          <w:szCs w:val="28"/>
        </w:rPr>
        <w:t>язан</w:t>
      </w:r>
      <w:r w:rsidR="006E79B7">
        <w:rPr>
          <w:rFonts w:ascii="Times New Roman" w:hAnsi="Times New Roman"/>
          <w:sz w:val="28"/>
          <w:szCs w:val="28"/>
        </w:rPr>
        <w:t>ий</w:t>
      </w:r>
      <w:r>
        <w:rPr>
          <w:rFonts w:ascii="Times New Roman" w:hAnsi="Times New Roman"/>
          <w:sz w:val="28"/>
          <w:szCs w:val="28"/>
        </w:rPr>
        <w:t xml:space="preserve"> протягом трьох місяців з дня набрання чинності цим Законом</w:t>
      </w:r>
      <w:r w:rsidR="00246162">
        <w:rPr>
          <w:rFonts w:ascii="Times New Roman" w:hAnsi="Times New Roman"/>
          <w:sz w:val="28"/>
          <w:szCs w:val="28"/>
        </w:rPr>
        <w:t>,</w:t>
      </w:r>
      <w:r>
        <w:rPr>
          <w:rFonts w:ascii="Times New Roman" w:hAnsi="Times New Roman"/>
          <w:sz w:val="28"/>
          <w:szCs w:val="28"/>
        </w:rPr>
        <w:t xml:space="preserve"> привести свої нормативно-правові акти у відповідність </w:t>
      </w:r>
      <w:r w:rsidR="00920D44">
        <w:rPr>
          <w:rFonts w:ascii="Times New Roman" w:hAnsi="Times New Roman"/>
          <w:sz w:val="28"/>
          <w:szCs w:val="28"/>
        </w:rPr>
        <w:t>і</w:t>
      </w:r>
      <w:r>
        <w:rPr>
          <w:rFonts w:ascii="Times New Roman" w:hAnsi="Times New Roman"/>
          <w:sz w:val="28"/>
          <w:szCs w:val="28"/>
        </w:rPr>
        <w:t>з Законом, а також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880789" w:rsidRDefault="00D105F8" w:rsidP="00246162">
      <w:pPr>
        <w:widowControl w:val="0"/>
        <w:spacing w:before="120" w:after="120" w:line="240" w:lineRule="auto"/>
        <w:ind w:firstLine="737"/>
        <w:jc w:val="both"/>
        <w:rPr>
          <w:rFonts w:ascii="Times New Roman" w:eastAsia="Times New Roman" w:hAnsi="Times New Roman"/>
          <w:sz w:val="28"/>
          <w:szCs w:val="28"/>
          <w:lang w:eastAsia="ru-RU"/>
        </w:rPr>
      </w:pPr>
      <w:r w:rsidRPr="007A6D1E">
        <w:rPr>
          <w:rFonts w:ascii="Times New Roman" w:eastAsia="Times New Roman" w:hAnsi="Times New Roman"/>
          <w:color w:val="000000"/>
          <w:sz w:val="28"/>
          <w:szCs w:val="26"/>
          <w:lang w:eastAsia="uk-UA"/>
        </w:rPr>
        <w:t>Відповідно до вимог</w:t>
      </w:r>
      <w:r>
        <w:rPr>
          <w:rFonts w:ascii="Times New Roman" w:eastAsia="Times New Roman" w:hAnsi="Times New Roman"/>
          <w:color w:val="000000"/>
          <w:sz w:val="28"/>
          <w:szCs w:val="26"/>
          <w:lang w:eastAsia="uk-UA"/>
        </w:rPr>
        <w:t xml:space="preserve"> пункту 1 частини другої</w:t>
      </w:r>
      <w:r w:rsidRPr="007A6D1E">
        <w:rPr>
          <w:rFonts w:ascii="Times New Roman" w:eastAsia="Times New Roman" w:hAnsi="Times New Roman"/>
          <w:color w:val="000000"/>
          <w:sz w:val="28"/>
          <w:szCs w:val="26"/>
          <w:lang w:eastAsia="uk-UA"/>
        </w:rPr>
        <w:t xml:space="preserve"> </w:t>
      </w:r>
      <w:r>
        <w:rPr>
          <w:rFonts w:ascii="Times New Roman" w:eastAsia="Times New Roman" w:hAnsi="Times New Roman"/>
          <w:color w:val="000000"/>
          <w:sz w:val="28"/>
          <w:szCs w:val="26"/>
          <w:lang w:eastAsia="uk-UA"/>
        </w:rPr>
        <w:t>статті</w:t>
      </w:r>
      <w:r w:rsidRPr="007A6D1E">
        <w:rPr>
          <w:rFonts w:ascii="Times New Roman" w:eastAsia="Times New Roman" w:hAnsi="Times New Roman"/>
          <w:color w:val="000000"/>
          <w:sz w:val="28"/>
          <w:szCs w:val="26"/>
          <w:lang w:eastAsia="uk-UA"/>
        </w:rPr>
        <w:t xml:space="preserve"> 8 Закону суб’єкт первинного фінансового моніторингу (далі – СПФМ)</w:t>
      </w:r>
      <w:r>
        <w:rPr>
          <w:rFonts w:ascii="Times New Roman" w:eastAsia="Times New Roman" w:hAnsi="Times New Roman"/>
          <w:color w:val="000000"/>
          <w:sz w:val="28"/>
          <w:szCs w:val="26"/>
          <w:lang w:eastAsia="uk-UA"/>
        </w:rPr>
        <w:t xml:space="preserve"> зобов</w:t>
      </w:r>
      <w:r w:rsidRPr="00114530">
        <w:rPr>
          <w:rFonts w:ascii="Times New Roman" w:eastAsia="Times New Roman" w:hAnsi="Times New Roman"/>
          <w:color w:val="000000"/>
          <w:sz w:val="28"/>
          <w:szCs w:val="26"/>
          <w:lang w:eastAsia="uk-UA"/>
        </w:rPr>
        <w:t>’</w:t>
      </w:r>
      <w:r>
        <w:rPr>
          <w:rFonts w:ascii="Times New Roman" w:eastAsia="Times New Roman" w:hAnsi="Times New Roman"/>
          <w:color w:val="000000"/>
          <w:sz w:val="28"/>
          <w:szCs w:val="26"/>
          <w:lang w:eastAsia="uk-UA"/>
        </w:rPr>
        <w:t xml:space="preserve">язаний, </w:t>
      </w:r>
      <w:r w:rsidRPr="00376937">
        <w:rPr>
          <w:rFonts w:ascii="Times New Roman" w:eastAsia="Times New Roman" w:hAnsi="Times New Roman"/>
          <w:sz w:val="28"/>
          <w:szCs w:val="28"/>
          <w:lang w:eastAsia="ru-RU"/>
        </w:rPr>
        <w:t>зокрема</w:t>
      </w:r>
      <w:r>
        <w:rPr>
          <w:rFonts w:ascii="Times New Roman" w:eastAsia="Times New Roman" w:hAnsi="Times New Roman"/>
          <w:sz w:val="28"/>
          <w:szCs w:val="28"/>
          <w:lang w:eastAsia="ru-RU"/>
        </w:rPr>
        <w:t>,</w:t>
      </w:r>
      <w:r w:rsidRPr="00376937">
        <w:rPr>
          <w:rFonts w:ascii="Times New Roman" w:eastAsia="Times New Roman" w:hAnsi="Times New Roman"/>
          <w:sz w:val="28"/>
          <w:szCs w:val="28"/>
          <w:lang w:eastAsia="ru-RU"/>
        </w:rPr>
        <w:t xml:space="preserve"> стати на облік</w:t>
      </w:r>
      <w:r w:rsidR="00114530">
        <w:rPr>
          <w:rFonts w:ascii="Times New Roman" w:eastAsia="Times New Roman" w:hAnsi="Times New Roman"/>
          <w:sz w:val="28"/>
          <w:szCs w:val="28"/>
          <w:lang w:eastAsia="ru-RU"/>
        </w:rPr>
        <w:t xml:space="preserve"> у Держфінмоніторинг</w:t>
      </w:r>
      <w:r w:rsidR="00F03DD9">
        <w:rPr>
          <w:rFonts w:ascii="Times New Roman" w:eastAsia="Times New Roman" w:hAnsi="Times New Roman"/>
          <w:sz w:val="28"/>
          <w:szCs w:val="28"/>
          <w:lang w:eastAsia="ru-RU"/>
        </w:rPr>
        <w:t>у</w:t>
      </w:r>
      <w:r>
        <w:rPr>
          <w:rFonts w:ascii="Times New Roman" w:eastAsia="Times New Roman" w:hAnsi="Times New Roman"/>
          <w:sz w:val="28"/>
          <w:szCs w:val="28"/>
          <w:lang w:eastAsia="ru-RU"/>
        </w:rPr>
        <w:t>,</w:t>
      </w:r>
      <w:r w:rsidRPr="00376937">
        <w:rPr>
          <w:rFonts w:ascii="Times New Roman" w:eastAsia="Times New Roman" w:hAnsi="Times New Roman"/>
          <w:sz w:val="28"/>
          <w:szCs w:val="28"/>
          <w:lang w:eastAsia="ru-RU"/>
        </w:rPr>
        <w:t xml:space="preserve"> як суб’єкт первинного фінансового моніторингу в порядку визначеному </w:t>
      </w:r>
      <w:r w:rsidRPr="006E79B7">
        <w:rPr>
          <w:rFonts w:ascii="Times New Roman" w:eastAsia="Times New Roman" w:hAnsi="Times New Roman"/>
          <w:sz w:val="28"/>
          <w:szCs w:val="28"/>
          <w:lang w:eastAsia="ru-RU"/>
        </w:rPr>
        <w:t>Кабінетом Міністрів України</w:t>
      </w:r>
      <w:r w:rsidR="00F03DD9" w:rsidRPr="006E79B7">
        <w:rPr>
          <w:rFonts w:ascii="Times New Roman" w:eastAsia="Times New Roman" w:hAnsi="Times New Roman"/>
          <w:sz w:val="28"/>
          <w:szCs w:val="28"/>
          <w:lang w:eastAsia="ru-RU"/>
        </w:rPr>
        <w:t>.</w:t>
      </w:r>
    </w:p>
    <w:p w:rsidR="003D1807" w:rsidRDefault="003D1807" w:rsidP="00246162">
      <w:pPr>
        <w:widowControl w:val="0"/>
        <w:spacing w:before="120" w:after="120" w:line="240" w:lineRule="auto"/>
        <w:ind w:firstLine="737"/>
        <w:jc w:val="both"/>
        <w:rPr>
          <w:rFonts w:ascii="Times New Roman" w:eastAsia="Times New Roman" w:hAnsi="Times New Roman"/>
          <w:color w:val="000000"/>
          <w:sz w:val="28"/>
          <w:szCs w:val="28"/>
          <w:lang w:eastAsia="uk-UA"/>
        </w:rPr>
      </w:pPr>
      <w:r>
        <w:rPr>
          <w:rFonts w:ascii="Times New Roman" w:eastAsia="Times New Roman" w:hAnsi="Times New Roman"/>
          <w:sz w:val="28"/>
          <w:szCs w:val="28"/>
          <w:lang w:eastAsia="uk-UA"/>
        </w:rPr>
        <w:t xml:space="preserve">До </w:t>
      </w:r>
      <w:r w:rsidRPr="00C20E02">
        <w:rPr>
          <w:rFonts w:ascii="Times New Roman" w:eastAsia="Times New Roman" w:hAnsi="Times New Roman"/>
          <w:sz w:val="28"/>
          <w:szCs w:val="28"/>
          <w:lang w:eastAsia="uk-UA"/>
        </w:rPr>
        <w:t>при</w:t>
      </w:r>
      <w:r>
        <w:rPr>
          <w:rFonts w:ascii="Times New Roman" w:eastAsia="Times New Roman" w:hAnsi="Times New Roman"/>
          <w:sz w:val="28"/>
          <w:szCs w:val="28"/>
          <w:lang w:eastAsia="uk-UA"/>
        </w:rPr>
        <w:t xml:space="preserve">йняття </w:t>
      </w:r>
      <w:r w:rsidRPr="00C20E02">
        <w:rPr>
          <w:rFonts w:ascii="Times New Roman" w:eastAsia="Times New Roman" w:hAnsi="Times New Roman"/>
          <w:color w:val="000000"/>
          <w:sz w:val="28"/>
          <w:szCs w:val="28"/>
          <w:lang w:eastAsia="uk-UA"/>
        </w:rPr>
        <w:t xml:space="preserve">та набрання чинності </w:t>
      </w:r>
      <w:r>
        <w:rPr>
          <w:rFonts w:ascii="Times New Roman" w:eastAsia="Times New Roman" w:hAnsi="Times New Roman"/>
          <w:sz w:val="28"/>
          <w:szCs w:val="28"/>
          <w:lang w:eastAsia="uk-UA"/>
        </w:rPr>
        <w:t xml:space="preserve">новими </w:t>
      </w:r>
      <w:r w:rsidRPr="00C20E02">
        <w:rPr>
          <w:rFonts w:ascii="Times New Roman" w:eastAsia="Times New Roman" w:hAnsi="Times New Roman"/>
          <w:color w:val="000000"/>
          <w:sz w:val="28"/>
          <w:szCs w:val="28"/>
          <w:lang w:eastAsia="uk-UA"/>
        </w:rPr>
        <w:t xml:space="preserve">підзаконними </w:t>
      </w:r>
      <w:r w:rsidRPr="00C20E02">
        <w:rPr>
          <w:rFonts w:ascii="Times New Roman" w:eastAsia="Times New Roman" w:hAnsi="Times New Roman"/>
          <w:sz w:val="28"/>
          <w:szCs w:val="28"/>
          <w:lang w:eastAsia="uk-UA"/>
        </w:rPr>
        <w:t>нормативно-правови</w:t>
      </w:r>
      <w:r>
        <w:rPr>
          <w:rFonts w:ascii="Times New Roman" w:eastAsia="Times New Roman" w:hAnsi="Times New Roman"/>
          <w:sz w:val="28"/>
          <w:szCs w:val="28"/>
          <w:lang w:eastAsia="uk-UA"/>
        </w:rPr>
        <w:t>ми</w:t>
      </w:r>
      <w:r w:rsidRPr="007A7EB5">
        <w:rPr>
          <w:rFonts w:ascii="Times New Roman" w:eastAsia="Times New Roman" w:hAnsi="Times New Roman"/>
          <w:sz w:val="28"/>
          <w:szCs w:val="28"/>
          <w:lang w:eastAsia="uk-UA"/>
        </w:rPr>
        <w:t xml:space="preserve"> акт</w:t>
      </w:r>
      <w:r>
        <w:rPr>
          <w:rFonts w:ascii="Times New Roman" w:eastAsia="Times New Roman" w:hAnsi="Times New Roman"/>
          <w:sz w:val="28"/>
          <w:szCs w:val="28"/>
          <w:lang w:eastAsia="uk-UA"/>
        </w:rPr>
        <w:t xml:space="preserve">ами, </w:t>
      </w:r>
      <w:r w:rsidR="00D105F8" w:rsidRPr="007A6D1E">
        <w:rPr>
          <w:rFonts w:ascii="Times New Roman" w:eastAsia="Times New Roman" w:hAnsi="Times New Roman"/>
          <w:color w:val="000000"/>
          <w:sz w:val="28"/>
          <w:szCs w:val="28"/>
          <w:lang w:eastAsia="uk-UA"/>
        </w:rPr>
        <w:t xml:space="preserve">рекомендуємо СПФМ надавати </w:t>
      </w:r>
      <w:r w:rsidR="00D105F8">
        <w:rPr>
          <w:rFonts w:ascii="Times New Roman" w:eastAsia="Times New Roman" w:hAnsi="Times New Roman"/>
          <w:color w:val="000000"/>
          <w:sz w:val="28"/>
          <w:szCs w:val="28"/>
          <w:lang w:eastAsia="uk-UA"/>
        </w:rPr>
        <w:t xml:space="preserve">до Держфінмоніторингу </w:t>
      </w:r>
      <w:r w:rsidR="00D105F8" w:rsidRPr="007A6D1E">
        <w:rPr>
          <w:rFonts w:ascii="Times New Roman" w:eastAsia="Times New Roman" w:hAnsi="Times New Roman"/>
          <w:color w:val="000000"/>
          <w:sz w:val="28"/>
          <w:szCs w:val="28"/>
          <w:lang w:eastAsia="uk-UA"/>
        </w:rPr>
        <w:t xml:space="preserve">інформацію </w:t>
      </w:r>
      <w:r w:rsidR="00D105F8">
        <w:rPr>
          <w:rFonts w:ascii="Times New Roman" w:eastAsia="Times New Roman" w:hAnsi="Times New Roman"/>
          <w:color w:val="000000"/>
          <w:sz w:val="28"/>
          <w:szCs w:val="28"/>
          <w:lang w:eastAsia="uk-UA"/>
        </w:rPr>
        <w:t xml:space="preserve">щодо постановки на облік відповідно до </w:t>
      </w:r>
      <w:r>
        <w:rPr>
          <w:rFonts w:ascii="Times New Roman" w:eastAsia="Times New Roman" w:hAnsi="Times New Roman"/>
          <w:color w:val="000000"/>
          <w:sz w:val="28"/>
          <w:szCs w:val="28"/>
          <w:lang w:eastAsia="uk-UA"/>
        </w:rPr>
        <w:t>вимог:</w:t>
      </w:r>
    </w:p>
    <w:p w:rsidR="003D1807" w:rsidRDefault="003A1A1A" w:rsidP="00246162">
      <w:pPr>
        <w:widowControl w:val="0"/>
        <w:spacing w:before="120" w:after="12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w:t>
      </w:r>
      <w:r w:rsidR="00D105F8" w:rsidRPr="00833731">
        <w:rPr>
          <w:rFonts w:ascii="Times New Roman" w:eastAsia="Times New Roman" w:hAnsi="Times New Roman"/>
          <w:sz w:val="28"/>
          <w:szCs w:val="28"/>
          <w:lang w:eastAsia="ru-RU"/>
        </w:rPr>
        <w:t>к</w:t>
      </w:r>
      <w:r w:rsidR="00114530">
        <w:rPr>
          <w:rFonts w:ascii="Times New Roman" w:eastAsia="Times New Roman" w:hAnsi="Times New Roman"/>
          <w:sz w:val="28"/>
          <w:szCs w:val="28"/>
          <w:lang w:eastAsia="ru-RU"/>
        </w:rPr>
        <w:t>у</w:t>
      </w:r>
      <w:r w:rsidR="00D105F8" w:rsidRPr="00833731">
        <w:rPr>
          <w:rFonts w:ascii="Times New Roman" w:eastAsia="Times New Roman" w:hAnsi="Times New Roman"/>
          <w:sz w:val="28"/>
          <w:szCs w:val="28"/>
          <w:lang w:eastAsia="ru-RU"/>
        </w:rPr>
        <w:t xml:space="preserve"> подання інформації для взяття на облік (зняття з обліку) суб’єктів первинного фінансового моніторингу, виявлення та реєстрації, а також подання суб’єктами первинного фінансового 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w:t>
      </w:r>
      <w:r w:rsidR="00D105F8">
        <w:rPr>
          <w:rFonts w:ascii="Times New Roman" w:eastAsia="Times New Roman" w:hAnsi="Times New Roman"/>
          <w:sz w:val="28"/>
          <w:szCs w:val="28"/>
          <w:lang w:eastAsia="ru-RU"/>
        </w:rPr>
        <w:t>вого знищення</w:t>
      </w:r>
      <w:r w:rsidR="00114530">
        <w:rPr>
          <w:rFonts w:ascii="Times New Roman" w:eastAsia="Times New Roman" w:hAnsi="Times New Roman"/>
          <w:sz w:val="28"/>
          <w:szCs w:val="28"/>
          <w:lang w:eastAsia="ru-RU"/>
        </w:rPr>
        <w:t>, затвердженого п</w:t>
      </w:r>
      <w:r w:rsidR="00D105F8">
        <w:rPr>
          <w:rFonts w:ascii="Times New Roman" w:eastAsia="Times New Roman" w:hAnsi="Times New Roman"/>
          <w:sz w:val="28"/>
          <w:szCs w:val="28"/>
          <w:lang w:eastAsia="ru-RU"/>
        </w:rPr>
        <w:t>остановою</w:t>
      </w:r>
      <w:r w:rsidR="00D105F8" w:rsidRPr="00833731">
        <w:rPr>
          <w:rFonts w:ascii="Times New Roman" w:eastAsia="Times New Roman" w:hAnsi="Times New Roman"/>
          <w:sz w:val="28"/>
          <w:szCs w:val="28"/>
          <w:lang w:eastAsia="ru-RU"/>
        </w:rPr>
        <w:t xml:space="preserve"> Кабінету Міністрів України від 05.08.2015 № 552</w:t>
      </w:r>
      <w:r w:rsidR="003D1807">
        <w:rPr>
          <w:rFonts w:ascii="Times New Roman" w:eastAsia="Times New Roman" w:hAnsi="Times New Roman"/>
          <w:sz w:val="28"/>
          <w:szCs w:val="28"/>
          <w:lang w:eastAsia="ru-RU"/>
        </w:rPr>
        <w:t>;</w:t>
      </w:r>
      <w:r w:rsidR="00D105F8">
        <w:rPr>
          <w:rFonts w:ascii="Times New Roman" w:eastAsia="Times New Roman" w:hAnsi="Times New Roman"/>
          <w:sz w:val="28"/>
          <w:szCs w:val="28"/>
          <w:lang w:eastAsia="ru-RU"/>
        </w:rPr>
        <w:t xml:space="preserve"> </w:t>
      </w:r>
    </w:p>
    <w:p w:rsidR="00D105F8" w:rsidRPr="00D105F8" w:rsidRDefault="00D105F8" w:rsidP="00246162">
      <w:pPr>
        <w:widowControl w:val="0"/>
        <w:spacing w:before="120" w:after="120" w:line="240" w:lineRule="auto"/>
        <w:ind w:firstLine="737"/>
        <w:jc w:val="both"/>
        <w:rPr>
          <w:rFonts w:ascii="Times New Roman" w:eastAsia="Times New Roman" w:hAnsi="Times New Roman"/>
          <w:color w:val="000000"/>
          <w:sz w:val="28"/>
          <w:szCs w:val="28"/>
          <w:lang w:eastAsia="uk-UA"/>
        </w:rPr>
      </w:pPr>
      <w:r>
        <w:rPr>
          <w:rFonts w:ascii="Times New Roman" w:hAnsi="Times New Roman"/>
          <w:sz w:val="28"/>
          <w:szCs w:val="28"/>
        </w:rPr>
        <w:t>наказу</w:t>
      </w:r>
      <w:r w:rsidRPr="007A6D1E">
        <w:rPr>
          <w:rFonts w:ascii="Times New Roman" w:hAnsi="Times New Roman"/>
          <w:sz w:val="28"/>
          <w:szCs w:val="28"/>
        </w:rPr>
        <w:t xml:space="preserve"> Міністерства фінансів України від 29.01.2016 № 24 «Про затвердження форм обліку та подання інформації, пов’язаної із здійсненням фінансового моніторингу, та інструкції щодо</w:t>
      </w:r>
      <w:r w:rsidR="00246162">
        <w:rPr>
          <w:rFonts w:ascii="Times New Roman" w:hAnsi="Times New Roman"/>
          <w:sz w:val="28"/>
          <w:szCs w:val="28"/>
        </w:rPr>
        <w:t xml:space="preserve"> їх заповнення» </w:t>
      </w:r>
      <w:r>
        <w:rPr>
          <w:rFonts w:ascii="Times New Roman" w:hAnsi="Times New Roman"/>
          <w:sz w:val="28"/>
          <w:szCs w:val="28"/>
        </w:rPr>
        <w:t>(далі-</w:t>
      </w:r>
      <w:r w:rsidR="00BB2D56">
        <w:rPr>
          <w:rFonts w:ascii="Times New Roman" w:hAnsi="Times New Roman"/>
          <w:sz w:val="28"/>
          <w:szCs w:val="28"/>
        </w:rPr>
        <w:t>І</w:t>
      </w:r>
      <w:r>
        <w:rPr>
          <w:rFonts w:ascii="Times New Roman" w:hAnsi="Times New Roman"/>
          <w:sz w:val="28"/>
          <w:szCs w:val="28"/>
        </w:rPr>
        <w:t xml:space="preserve">нструкція). </w:t>
      </w:r>
    </w:p>
    <w:p w:rsidR="00D105F8" w:rsidRDefault="00D105F8" w:rsidP="00246162">
      <w:pPr>
        <w:widowControl w:val="0"/>
        <w:tabs>
          <w:tab w:val="left" w:pos="709"/>
          <w:tab w:val="left" w:pos="5245"/>
          <w:tab w:val="left" w:pos="5760"/>
        </w:tabs>
        <w:spacing w:before="120" w:after="12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Звертаємо</w:t>
      </w:r>
      <w:r w:rsidRPr="00CD61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увагу, що відповідно до абзацу другого пункту 2 </w:t>
      </w:r>
      <w:r w:rsidRPr="00CD61BF">
        <w:rPr>
          <w:rFonts w:ascii="Times New Roman" w:eastAsia="Times New Roman" w:hAnsi="Times New Roman"/>
          <w:sz w:val="28"/>
          <w:szCs w:val="28"/>
          <w:lang w:eastAsia="ru-RU"/>
        </w:rPr>
        <w:t xml:space="preserve">розділу ІІ Інструкції, </w:t>
      </w:r>
      <w:r w:rsidR="00246162">
        <w:rPr>
          <w:rFonts w:ascii="Times New Roman" w:eastAsia="Times New Roman" w:hAnsi="Times New Roman"/>
          <w:sz w:val="28"/>
          <w:szCs w:val="28"/>
          <w:lang w:eastAsia="ru-RU"/>
        </w:rPr>
        <w:t xml:space="preserve">СПФМ </w:t>
      </w:r>
      <w:r>
        <w:rPr>
          <w:rFonts w:ascii="Times New Roman" w:eastAsia="Times New Roman" w:hAnsi="Times New Roman"/>
          <w:sz w:val="28"/>
          <w:szCs w:val="28"/>
          <w:lang w:eastAsia="ru-RU"/>
        </w:rPr>
        <w:t xml:space="preserve">при постановці на облік в Єдиній державній інформаційній системі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Pr="00CD61BF">
        <w:rPr>
          <w:rFonts w:ascii="Times New Roman" w:eastAsia="Times New Roman" w:hAnsi="Times New Roman"/>
          <w:sz w:val="28"/>
          <w:szCs w:val="28"/>
          <w:lang w:eastAsia="ru-RU"/>
        </w:rPr>
        <w:t xml:space="preserve">зобов’язані подавати до Держфінмоніторингу форму № 1-ФМ «Форма обліку суб’єкта первинного фінансового моніторингу» (далі </w:t>
      </w:r>
      <w:r>
        <w:rPr>
          <w:rFonts w:ascii="Times New Roman" w:eastAsia="Times New Roman" w:hAnsi="Times New Roman"/>
          <w:sz w:val="28"/>
          <w:szCs w:val="28"/>
          <w:lang w:eastAsia="ru-RU"/>
        </w:rPr>
        <w:t>– форма № 1-ФМ).</w:t>
      </w:r>
      <w:r w:rsidRPr="00CD61BF">
        <w:rPr>
          <w:rFonts w:ascii="Times New Roman" w:eastAsia="Times New Roman" w:hAnsi="Times New Roman"/>
          <w:sz w:val="28"/>
          <w:szCs w:val="28"/>
          <w:lang w:eastAsia="ru-RU"/>
        </w:rPr>
        <w:t xml:space="preserve"> </w:t>
      </w:r>
    </w:p>
    <w:p w:rsidR="00D105F8" w:rsidRPr="006226C0" w:rsidRDefault="00D105F8" w:rsidP="00246162">
      <w:pPr>
        <w:widowControl w:val="0"/>
        <w:tabs>
          <w:tab w:val="left" w:pos="709"/>
          <w:tab w:val="left" w:pos="5245"/>
          <w:tab w:val="left" w:pos="5760"/>
        </w:tabs>
        <w:spacing w:before="120" w:after="12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При цьому</w:t>
      </w:r>
      <w:r w:rsidR="0011453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 полі 100 «Вид суб</w:t>
      </w:r>
      <w:r w:rsidRPr="00615FB3">
        <w:rPr>
          <w:rFonts w:ascii="Times New Roman" w:eastAsia="Times New Roman" w:hAnsi="Times New Roman"/>
          <w:sz w:val="28"/>
          <w:szCs w:val="28"/>
          <w:lang w:eastAsia="ru-RU"/>
        </w:rPr>
        <w:t>’</w:t>
      </w:r>
      <w:r>
        <w:rPr>
          <w:rFonts w:ascii="Times New Roman" w:eastAsia="Times New Roman" w:hAnsi="Times New Roman"/>
          <w:sz w:val="28"/>
          <w:szCs w:val="28"/>
          <w:lang w:eastAsia="ru-RU"/>
        </w:rPr>
        <w:t>єкта (код)»</w:t>
      </w:r>
      <w:r w:rsidRPr="001C1C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форми</w:t>
      </w:r>
      <w:r w:rsidRPr="00CD61BF">
        <w:rPr>
          <w:rFonts w:ascii="Times New Roman" w:eastAsia="Times New Roman" w:hAnsi="Times New Roman"/>
          <w:sz w:val="28"/>
          <w:szCs w:val="28"/>
          <w:lang w:eastAsia="ru-RU"/>
        </w:rPr>
        <w:t xml:space="preserve"> № 1-ФМ</w:t>
      </w:r>
      <w:r w:rsidRPr="00615FB3">
        <w:rPr>
          <w:rFonts w:ascii="Times New Roman" w:hAnsi="Times New Roman"/>
          <w:sz w:val="28"/>
          <w:szCs w:val="28"/>
        </w:rPr>
        <w:t xml:space="preserve"> </w:t>
      </w:r>
      <w:r w:rsidR="002572CF" w:rsidRPr="006E79B7">
        <w:rPr>
          <w:rFonts w:ascii="Times New Roman" w:hAnsi="Times New Roman"/>
          <w:sz w:val="28"/>
          <w:szCs w:val="28"/>
        </w:rPr>
        <w:t>рекомендовано зазначати</w:t>
      </w:r>
      <w:r w:rsidRPr="007A6D1E">
        <w:rPr>
          <w:rFonts w:ascii="Times New Roman" w:hAnsi="Times New Roman"/>
          <w:sz w:val="28"/>
          <w:szCs w:val="28"/>
        </w:rPr>
        <w:t xml:space="preserve"> відповідний код</w:t>
      </w:r>
      <w:r w:rsidR="00F03DD9">
        <w:rPr>
          <w:rFonts w:ascii="Times New Roman" w:hAnsi="Times New Roman"/>
          <w:sz w:val="28"/>
          <w:szCs w:val="28"/>
        </w:rPr>
        <w:t xml:space="preserve"> </w:t>
      </w:r>
      <w:r>
        <w:rPr>
          <w:rFonts w:ascii="Times New Roman" w:hAnsi="Times New Roman"/>
          <w:sz w:val="28"/>
          <w:szCs w:val="28"/>
        </w:rPr>
        <w:t>(коди) виду СПФМ згідно з додатком 5 «Довідник кодів видів суб</w:t>
      </w:r>
      <w:r w:rsidRPr="000117CF">
        <w:rPr>
          <w:rFonts w:ascii="Times New Roman" w:hAnsi="Times New Roman"/>
          <w:sz w:val="28"/>
          <w:szCs w:val="28"/>
        </w:rPr>
        <w:t>’</w:t>
      </w:r>
      <w:r>
        <w:rPr>
          <w:rFonts w:ascii="Times New Roman" w:hAnsi="Times New Roman"/>
          <w:sz w:val="28"/>
          <w:szCs w:val="28"/>
        </w:rPr>
        <w:t xml:space="preserve">єктів первинного фінансового </w:t>
      </w:r>
      <w:r>
        <w:rPr>
          <w:rFonts w:ascii="Times New Roman" w:hAnsi="Times New Roman"/>
          <w:sz w:val="28"/>
          <w:szCs w:val="28"/>
        </w:rPr>
        <w:lastRenderedPageBreak/>
        <w:t>моніторингу» до Інструкції.</w:t>
      </w:r>
    </w:p>
    <w:p w:rsidR="00D105F8" w:rsidRDefault="00F03DD9" w:rsidP="00246162">
      <w:pPr>
        <w:widowControl w:val="0"/>
        <w:spacing w:before="120" w:after="120" w:line="240" w:lineRule="auto"/>
        <w:ind w:firstLine="737"/>
        <w:jc w:val="both"/>
        <w:rPr>
          <w:rFonts w:ascii="Times New Roman" w:eastAsia="Times New Roman" w:hAnsi="Times New Roman"/>
          <w:color w:val="000000"/>
          <w:sz w:val="28"/>
          <w:szCs w:val="26"/>
          <w:lang w:eastAsia="uk-UA"/>
        </w:rPr>
      </w:pPr>
      <w:r>
        <w:rPr>
          <w:rFonts w:ascii="Times New Roman" w:eastAsia="Times New Roman" w:hAnsi="Times New Roman"/>
          <w:color w:val="000000"/>
          <w:sz w:val="28"/>
          <w:szCs w:val="26"/>
          <w:lang w:eastAsia="uk-UA"/>
        </w:rPr>
        <w:t>Ч</w:t>
      </w:r>
      <w:r w:rsidR="00D105F8">
        <w:rPr>
          <w:rFonts w:ascii="Times New Roman" w:eastAsia="Times New Roman" w:hAnsi="Times New Roman"/>
          <w:color w:val="000000"/>
          <w:sz w:val="28"/>
          <w:szCs w:val="26"/>
          <w:lang w:eastAsia="uk-UA"/>
        </w:rPr>
        <w:t xml:space="preserve">астиною другою статті 6 Закону </w:t>
      </w:r>
      <w:r w:rsidR="005600F9">
        <w:rPr>
          <w:rFonts w:ascii="Times New Roman" w:eastAsia="Times New Roman" w:hAnsi="Times New Roman"/>
          <w:color w:val="000000"/>
          <w:sz w:val="28"/>
          <w:szCs w:val="26"/>
          <w:lang w:eastAsia="uk-UA"/>
        </w:rPr>
        <w:t>розширено перелік</w:t>
      </w:r>
      <w:r w:rsidR="00D105F8">
        <w:rPr>
          <w:rFonts w:ascii="Times New Roman" w:eastAsia="Times New Roman" w:hAnsi="Times New Roman"/>
          <w:color w:val="000000"/>
          <w:sz w:val="28"/>
          <w:szCs w:val="26"/>
          <w:lang w:eastAsia="uk-UA"/>
        </w:rPr>
        <w:t xml:space="preserve"> СПФМ</w:t>
      </w:r>
      <w:r w:rsidR="005600F9">
        <w:rPr>
          <w:rFonts w:ascii="Times New Roman" w:eastAsia="Times New Roman" w:hAnsi="Times New Roman"/>
          <w:color w:val="000000"/>
          <w:sz w:val="28"/>
          <w:szCs w:val="26"/>
          <w:lang w:eastAsia="uk-UA"/>
        </w:rPr>
        <w:t>, до яких, зокрема віднос</w:t>
      </w:r>
      <w:r w:rsidR="006618D1">
        <w:rPr>
          <w:rFonts w:ascii="Times New Roman" w:eastAsia="Times New Roman" w:hAnsi="Times New Roman"/>
          <w:color w:val="000000"/>
          <w:sz w:val="28"/>
          <w:szCs w:val="26"/>
          <w:lang w:eastAsia="uk-UA"/>
        </w:rPr>
        <w:t>я</w:t>
      </w:r>
      <w:r w:rsidR="005600F9">
        <w:rPr>
          <w:rFonts w:ascii="Times New Roman" w:eastAsia="Times New Roman" w:hAnsi="Times New Roman"/>
          <w:color w:val="000000"/>
          <w:sz w:val="28"/>
          <w:szCs w:val="26"/>
          <w:lang w:eastAsia="uk-UA"/>
        </w:rPr>
        <w:t>ться</w:t>
      </w:r>
      <w:r w:rsidR="00D105F8">
        <w:rPr>
          <w:rFonts w:ascii="Times New Roman" w:eastAsia="Times New Roman" w:hAnsi="Times New Roman"/>
          <w:color w:val="000000"/>
          <w:sz w:val="28"/>
          <w:szCs w:val="26"/>
          <w:lang w:eastAsia="uk-UA"/>
        </w:rPr>
        <w:t>:</w:t>
      </w:r>
      <w:bookmarkStart w:id="0" w:name="n182"/>
      <w:bookmarkEnd w:id="0"/>
    </w:p>
    <w:p w:rsidR="005A3246" w:rsidRPr="005A3246" w:rsidRDefault="005A3246" w:rsidP="00246162">
      <w:pPr>
        <w:widowControl w:val="0"/>
        <w:shd w:val="clear" w:color="auto" w:fill="FFFFFF"/>
        <w:spacing w:before="120" w:after="120" w:line="240" w:lineRule="auto"/>
        <w:ind w:firstLine="709"/>
        <w:contextualSpacing/>
        <w:jc w:val="both"/>
        <w:rPr>
          <w:rFonts w:ascii="Times New Roman" w:eastAsia="Times New Roman" w:hAnsi="Times New Roman"/>
          <w:color w:val="000000"/>
          <w:sz w:val="28"/>
          <w:szCs w:val="28"/>
          <w:lang w:eastAsia="ru-RU"/>
        </w:rPr>
      </w:pPr>
      <w:r w:rsidRPr="005A3246">
        <w:rPr>
          <w:rFonts w:ascii="Times New Roman" w:eastAsia="Times New Roman" w:hAnsi="Times New Roman"/>
          <w:color w:val="000000"/>
          <w:sz w:val="28"/>
          <w:szCs w:val="28"/>
          <w:lang w:eastAsia="ru-RU"/>
        </w:rPr>
        <w:t>суб’єкти господарювання, що здійснюють консультування з питань оподаткування;</w:t>
      </w:r>
    </w:p>
    <w:p w:rsidR="00D943D3" w:rsidRPr="00D943D3" w:rsidRDefault="00D943D3" w:rsidP="00246162">
      <w:pPr>
        <w:widowControl w:val="0"/>
        <w:shd w:val="clear" w:color="auto" w:fill="FFFFFF"/>
        <w:spacing w:before="120" w:after="120" w:line="240" w:lineRule="auto"/>
        <w:ind w:firstLine="709"/>
        <w:contextualSpacing/>
        <w:jc w:val="both"/>
        <w:rPr>
          <w:rFonts w:ascii="Times New Roman" w:eastAsia="Times New Roman" w:hAnsi="Times New Roman"/>
          <w:color w:val="000000"/>
          <w:sz w:val="28"/>
          <w:szCs w:val="28"/>
          <w:lang w:eastAsia="ru-RU"/>
        </w:rPr>
      </w:pPr>
      <w:bookmarkStart w:id="1" w:name="n186"/>
      <w:bookmarkEnd w:id="1"/>
      <w:r w:rsidRPr="00D943D3">
        <w:rPr>
          <w:rFonts w:ascii="Times New Roman" w:eastAsia="Times New Roman" w:hAnsi="Times New Roman"/>
          <w:color w:val="000000"/>
          <w:sz w:val="28"/>
          <w:szCs w:val="28"/>
          <w:lang w:eastAsia="ru-RU"/>
        </w:rPr>
        <w:t>особи, які надають послуги щодо створення, забезпечення діяльності або управління юридичними особами;</w:t>
      </w:r>
    </w:p>
    <w:p w:rsidR="00D943D3" w:rsidRDefault="00D943D3" w:rsidP="00246162">
      <w:pPr>
        <w:widowControl w:val="0"/>
        <w:shd w:val="clear" w:color="auto" w:fill="FFFFFF"/>
        <w:spacing w:before="120" w:after="120" w:line="240" w:lineRule="auto"/>
        <w:ind w:firstLine="709"/>
        <w:contextualSpacing/>
        <w:jc w:val="both"/>
        <w:rPr>
          <w:rFonts w:ascii="Times New Roman" w:eastAsia="Times New Roman" w:hAnsi="Times New Roman"/>
          <w:color w:val="000000"/>
          <w:sz w:val="28"/>
          <w:szCs w:val="28"/>
          <w:lang w:eastAsia="ru-RU"/>
        </w:rPr>
      </w:pPr>
      <w:bookmarkStart w:id="2" w:name="n187"/>
      <w:bookmarkEnd w:id="2"/>
      <w:r w:rsidRPr="00D943D3">
        <w:rPr>
          <w:rFonts w:ascii="Times New Roman" w:eastAsia="Times New Roman" w:hAnsi="Times New Roman"/>
          <w:color w:val="000000"/>
          <w:sz w:val="28"/>
          <w:szCs w:val="28"/>
          <w:lang w:eastAsia="ru-RU"/>
        </w:rPr>
        <w:t xml:space="preserve">суб’єкти господарювання, що надають </w:t>
      </w:r>
      <w:r w:rsidR="005834D8">
        <w:rPr>
          <w:rFonts w:ascii="Times New Roman" w:eastAsia="Times New Roman" w:hAnsi="Times New Roman"/>
          <w:color w:val="000000"/>
          <w:sz w:val="28"/>
          <w:szCs w:val="28"/>
          <w:lang w:eastAsia="ru-RU"/>
        </w:rPr>
        <w:t>посередницькі послуги та\або консультаційні послуги під час здійснення операцій з нерухомим майном</w:t>
      </w:r>
      <w:r w:rsidRPr="00D943D3">
        <w:rPr>
          <w:rFonts w:ascii="Times New Roman" w:eastAsia="Times New Roman" w:hAnsi="Times New Roman"/>
          <w:color w:val="000000"/>
          <w:sz w:val="28"/>
          <w:szCs w:val="28"/>
          <w:lang w:eastAsia="ru-RU"/>
        </w:rPr>
        <w:t>;</w:t>
      </w:r>
    </w:p>
    <w:p w:rsidR="00911ED8" w:rsidRPr="00A75489" w:rsidRDefault="00911ED8" w:rsidP="00246162">
      <w:pPr>
        <w:widowControl w:val="0"/>
        <w:shd w:val="clear" w:color="auto" w:fill="FFFFFF"/>
        <w:spacing w:before="120" w:after="120" w:line="240" w:lineRule="auto"/>
        <w:ind w:firstLine="709"/>
        <w:contextualSpacing/>
        <w:jc w:val="both"/>
        <w:rPr>
          <w:rFonts w:ascii="Times New Roman" w:eastAsia="Times New Roman" w:hAnsi="Times New Roman"/>
          <w:color w:val="000000"/>
          <w:sz w:val="28"/>
          <w:szCs w:val="28"/>
          <w:lang w:eastAsia="ru-RU"/>
        </w:rPr>
      </w:pPr>
      <w:r w:rsidRPr="00A75489">
        <w:rPr>
          <w:rFonts w:ascii="Times New Roman" w:hAnsi="Times New Roman"/>
          <w:color w:val="000000"/>
          <w:sz w:val="28"/>
          <w:szCs w:val="28"/>
        </w:rPr>
        <w:t>суб'єкти господарювання, які здійснюють торговельну діяльність культурними цінностями та/або надають посередницькі послуги в такій діяльності;</w:t>
      </w:r>
    </w:p>
    <w:p w:rsidR="00D943D3" w:rsidRPr="00D943D3" w:rsidRDefault="00D943D3" w:rsidP="00246162">
      <w:pPr>
        <w:widowControl w:val="0"/>
        <w:shd w:val="clear" w:color="auto" w:fill="FFFFFF"/>
        <w:spacing w:before="120" w:after="120" w:line="240" w:lineRule="auto"/>
        <w:ind w:firstLine="709"/>
        <w:contextualSpacing/>
        <w:jc w:val="both"/>
        <w:rPr>
          <w:rFonts w:ascii="Times New Roman" w:eastAsia="Times New Roman" w:hAnsi="Times New Roman"/>
          <w:color w:val="000000"/>
          <w:sz w:val="28"/>
          <w:szCs w:val="28"/>
          <w:lang w:eastAsia="ru-RU"/>
        </w:rPr>
      </w:pPr>
      <w:bookmarkStart w:id="3" w:name="n188"/>
      <w:bookmarkStart w:id="4" w:name="n190"/>
      <w:bookmarkEnd w:id="3"/>
      <w:bookmarkEnd w:id="4"/>
      <w:r w:rsidRPr="006E79B7">
        <w:rPr>
          <w:rFonts w:ascii="Times New Roman" w:eastAsia="Times New Roman" w:hAnsi="Times New Roman"/>
          <w:color w:val="000000"/>
          <w:sz w:val="28"/>
          <w:szCs w:val="28"/>
          <w:lang w:eastAsia="ru-RU"/>
        </w:rPr>
        <w:t>постачальник</w:t>
      </w:r>
      <w:r w:rsidR="002572CF" w:rsidRPr="006E79B7">
        <w:rPr>
          <w:rFonts w:ascii="Times New Roman" w:eastAsia="Times New Roman" w:hAnsi="Times New Roman"/>
          <w:color w:val="000000"/>
          <w:sz w:val="28"/>
          <w:szCs w:val="28"/>
          <w:lang w:eastAsia="ru-RU"/>
        </w:rPr>
        <w:t>и</w:t>
      </w:r>
      <w:r w:rsidRPr="00D943D3">
        <w:rPr>
          <w:rFonts w:ascii="Times New Roman" w:eastAsia="Times New Roman" w:hAnsi="Times New Roman"/>
          <w:color w:val="000000"/>
          <w:sz w:val="28"/>
          <w:szCs w:val="28"/>
          <w:lang w:eastAsia="ru-RU"/>
        </w:rPr>
        <w:t xml:space="preserve"> послуг, пов’язан</w:t>
      </w:r>
      <w:r w:rsidR="002E0972">
        <w:rPr>
          <w:rFonts w:ascii="Times New Roman" w:eastAsia="Times New Roman" w:hAnsi="Times New Roman"/>
          <w:color w:val="000000"/>
          <w:sz w:val="28"/>
          <w:szCs w:val="28"/>
          <w:lang w:eastAsia="ru-RU"/>
        </w:rPr>
        <w:t>их з обігом вір</w:t>
      </w:r>
      <w:r w:rsidR="00F03DD9">
        <w:rPr>
          <w:rFonts w:ascii="Times New Roman" w:eastAsia="Times New Roman" w:hAnsi="Times New Roman"/>
          <w:color w:val="000000"/>
          <w:sz w:val="28"/>
          <w:szCs w:val="28"/>
          <w:lang w:eastAsia="ru-RU"/>
        </w:rPr>
        <w:t>туальних активів.</w:t>
      </w:r>
    </w:p>
    <w:p w:rsidR="002A79C8" w:rsidRDefault="00F03DD9" w:rsidP="00246162">
      <w:pPr>
        <w:widowControl w:val="0"/>
        <w:tabs>
          <w:tab w:val="left" w:pos="709"/>
          <w:tab w:val="left" w:pos="5245"/>
          <w:tab w:val="left" w:pos="5760"/>
        </w:tabs>
        <w:spacing w:before="240" w:after="120" w:line="240" w:lineRule="auto"/>
        <w:ind w:firstLine="709"/>
        <w:jc w:val="both"/>
        <w:rPr>
          <w:rFonts w:ascii="Times New Roman" w:hAnsi="Times New Roman"/>
          <w:sz w:val="28"/>
          <w:szCs w:val="28"/>
        </w:rPr>
      </w:pPr>
      <w:bookmarkStart w:id="5" w:name="n191"/>
      <w:bookmarkEnd w:id="5"/>
      <w:r>
        <w:rPr>
          <w:rFonts w:ascii="Times New Roman" w:hAnsi="Times New Roman"/>
          <w:sz w:val="28"/>
          <w:szCs w:val="28"/>
        </w:rPr>
        <w:t xml:space="preserve">Вказаним СПФМ </w:t>
      </w:r>
      <w:r w:rsidR="00474D01">
        <w:rPr>
          <w:rFonts w:ascii="Times New Roman" w:hAnsi="Times New Roman"/>
          <w:sz w:val="28"/>
          <w:szCs w:val="28"/>
        </w:rPr>
        <w:t xml:space="preserve">до </w:t>
      </w:r>
      <w:r w:rsidR="00474D01" w:rsidRPr="00C20E02">
        <w:rPr>
          <w:rFonts w:ascii="Times New Roman" w:eastAsia="Times New Roman" w:hAnsi="Times New Roman"/>
          <w:color w:val="000000"/>
          <w:sz w:val="28"/>
          <w:szCs w:val="28"/>
          <w:lang w:eastAsia="uk-UA"/>
        </w:rPr>
        <w:t xml:space="preserve">набрання чинності </w:t>
      </w:r>
      <w:r w:rsidR="00474D01">
        <w:rPr>
          <w:rFonts w:ascii="Times New Roman" w:eastAsia="Times New Roman" w:hAnsi="Times New Roman"/>
          <w:sz w:val="28"/>
          <w:szCs w:val="28"/>
          <w:lang w:eastAsia="uk-UA"/>
        </w:rPr>
        <w:t xml:space="preserve">новими </w:t>
      </w:r>
      <w:r w:rsidR="00474D01" w:rsidRPr="00C20E02">
        <w:rPr>
          <w:rFonts w:ascii="Times New Roman" w:eastAsia="Times New Roman" w:hAnsi="Times New Roman"/>
          <w:color w:val="000000"/>
          <w:sz w:val="28"/>
          <w:szCs w:val="28"/>
          <w:lang w:eastAsia="uk-UA"/>
        </w:rPr>
        <w:t xml:space="preserve">підзаконними </w:t>
      </w:r>
      <w:r w:rsidR="00474D01" w:rsidRPr="00C20E02">
        <w:rPr>
          <w:rFonts w:ascii="Times New Roman" w:eastAsia="Times New Roman" w:hAnsi="Times New Roman"/>
          <w:sz w:val="28"/>
          <w:szCs w:val="28"/>
          <w:lang w:eastAsia="uk-UA"/>
        </w:rPr>
        <w:t>нормативно-правови</w:t>
      </w:r>
      <w:r w:rsidR="00474D01">
        <w:rPr>
          <w:rFonts w:ascii="Times New Roman" w:eastAsia="Times New Roman" w:hAnsi="Times New Roman"/>
          <w:sz w:val="28"/>
          <w:szCs w:val="28"/>
          <w:lang w:eastAsia="uk-UA"/>
        </w:rPr>
        <w:t>ми</w:t>
      </w:r>
      <w:r w:rsidR="00474D01" w:rsidRPr="007A7EB5">
        <w:rPr>
          <w:rFonts w:ascii="Times New Roman" w:eastAsia="Times New Roman" w:hAnsi="Times New Roman"/>
          <w:sz w:val="28"/>
          <w:szCs w:val="28"/>
          <w:lang w:eastAsia="uk-UA"/>
        </w:rPr>
        <w:t xml:space="preserve"> акт</w:t>
      </w:r>
      <w:r w:rsidR="00474D01">
        <w:rPr>
          <w:rFonts w:ascii="Times New Roman" w:eastAsia="Times New Roman" w:hAnsi="Times New Roman"/>
          <w:sz w:val="28"/>
          <w:szCs w:val="28"/>
          <w:lang w:eastAsia="uk-UA"/>
        </w:rPr>
        <w:t xml:space="preserve">ами, </w:t>
      </w:r>
      <w:r w:rsidR="00474D01" w:rsidRPr="007A6D1E">
        <w:rPr>
          <w:rFonts w:ascii="Times New Roman" w:eastAsia="Times New Roman" w:hAnsi="Times New Roman"/>
          <w:color w:val="000000"/>
          <w:sz w:val="28"/>
          <w:szCs w:val="28"/>
          <w:lang w:eastAsia="uk-UA"/>
        </w:rPr>
        <w:t>рекомендуємо</w:t>
      </w:r>
      <w:r w:rsidR="00474D01">
        <w:rPr>
          <w:rFonts w:ascii="Times New Roman" w:hAnsi="Times New Roman"/>
          <w:sz w:val="28"/>
          <w:szCs w:val="28"/>
        </w:rPr>
        <w:t xml:space="preserve"> </w:t>
      </w:r>
      <w:r w:rsidR="005600F9">
        <w:rPr>
          <w:rFonts w:ascii="Times New Roman" w:hAnsi="Times New Roman"/>
          <w:sz w:val="28"/>
          <w:szCs w:val="28"/>
        </w:rPr>
        <w:t>при постановці на облік у Держфінмоніторингу</w:t>
      </w:r>
      <w:r w:rsidR="00114530" w:rsidRPr="00114530">
        <w:rPr>
          <w:rFonts w:ascii="Times New Roman" w:hAnsi="Times New Roman"/>
          <w:sz w:val="28"/>
          <w:szCs w:val="28"/>
        </w:rPr>
        <w:t xml:space="preserve"> </w:t>
      </w:r>
      <w:r w:rsidR="000117CF">
        <w:rPr>
          <w:rFonts w:ascii="Times New Roman" w:hAnsi="Times New Roman"/>
          <w:sz w:val="28"/>
          <w:szCs w:val="28"/>
        </w:rPr>
        <w:t>користуватись наступними кодами видів СПФМ:</w:t>
      </w:r>
    </w:p>
    <w:tbl>
      <w:tblPr>
        <w:tblStyle w:val="a9"/>
        <w:tblW w:w="0" w:type="auto"/>
        <w:jc w:val="center"/>
        <w:tblCellMar>
          <w:left w:w="57" w:type="dxa"/>
          <w:right w:w="57" w:type="dxa"/>
        </w:tblCellMar>
        <w:tblLook w:val="04A0" w:firstRow="1" w:lastRow="0" w:firstColumn="1" w:lastColumn="0" w:noHBand="0" w:noVBand="1"/>
      </w:tblPr>
      <w:tblGrid>
        <w:gridCol w:w="1129"/>
        <w:gridCol w:w="5670"/>
      </w:tblGrid>
      <w:tr w:rsidR="00605FA9" w:rsidRPr="00246162" w:rsidTr="00605FA9">
        <w:trPr>
          <w:jc w:val="center"/>
        </w:trPr>
        <w:tc>
          <w:tcPr>
            <w:tcW w:w="1129" w:type="dxa"/>
          </w:tcPr>
          <w:p w:rsidR="00605FA9" w:rsidRPr="00246162" w:rsidRDefault="00605FA9" w:rsidP="00911ED8">
            <w:pPr>
              <w:widowControl w:val="0"/>
              <w:tabs>
                <w:tab w:val="left" w:pos="709"/>
                <w:tab w:val="left" w:pos="5245"/>
                <w:tab w:val="left" w:pos="5760"/>
              </w:tabs>
              <w:spacing w:after="0" w:line="240" w:lineRule="auto"/>
              <w:rPr>
                <w:rFonts w:ascii="Times New Roman" w:hAnsi="Times New Roman"/>
                <w:sz w:val="24"/>
                <w:szCs w:val="24"/>
              </w:rPr>
            </w:pPr>
            <w:r w:rsidRPr="00246162">
              <w:rPr>
                <w:rFonts w:ascii="Times New Roman" w:eastAsia="Times New Roman" w:hAnsi="Times New Roman"/>
                <w:color w:val="000000" w:themeColor="text1"/>
                <w:sz w:val="24"/>
                <w:szCs w:val="24"/>
                <w:lang w:eastAsia="ru-RU"/>
              </w:rPr>
              <w:t>Код виду СПФМ</w:t>
            </w:r>
          </w:p>
        </w:tc>
        <w:tc>
          <w:tcPr>
            <w:tcW w:w="5670" w:type="dxa"/>
          </w:tcPr>
          <w:p w:rsidR="00605FA9" w:rsidRPr="00246162" w:rsidRDefault="00605FA9" w:rsidP="00246162">
            <w:pPr>
              <w:widowControl w:val="0"/>
              <w:tabs>
                <w:tab w:val="left" w:pos="709"/>
                <w:tab w:val="left" w:pos="5245"/>
                <w:tab w:val="left" w:pos="5760"/>
              </w:tabs>
              <w:spacing w:after="0" w:line="240" w:lineRule="auto"/>
              <w:jc w:val="center"/>
              <w:rPr>
                <w:rFonts w:ascii="Times New Roman" w:hAnsi="Times New Roman"/>
                <w:sz w:val="24"/>
                <w:szCs w:val="24"/>
              </w:rPr>
            </w:pPr>
            <w:r w:rsidRPr="00246162">
              <w:rPr>
                <w:rFonts w:ascii="Times New Roman" w:eastAsia="Times New Roman" w:hAnsi="Times New Roman"/>
                <w:color w:val="000000" w:themeColor="text1"/>
                <w:sz w:val="24"/>
                <w:szCs w:val="24"/>
                <w:lang w:eastAsia="ru-RU"/>
              </w:rPr>
              <w:t>Найменування виду СПФМ</w:t>
            </w:r>
          </w:p>
        </w:tc>
      </w:tr>
      <w:tr w:rsidR="005834D8" w:rsidRPr="00246162" w:rsidTr="00605FA9">
        <w:trPr>
          <w:jc w:val="center"/>
        </w:trPr>
        <w:tc>
          <w:tcPr>
            <w:tcW w:w="1129" w:type="dxa"/>
            <w:vAlign w:val="center"/>
          </w:tcPr>
          <w:p w:rsidR="005834D8" w:rsidRPr="00246162" w:rsidRDefault="005834D8" w:rsidP="00911ED8">
            <w:pPr>
              <w:widowControl w:val="0"/>
              <w:tabs>
                <w:tab w:val="left" w:pos="709"/>
                <w:tab w:val="left" w:pos="5245"/>
                <w:tab w:val="left" w:pos="57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7130</w:t>
            </w:r>
          </w:p>
        </w:tc>
        <w:tc>
          <w:tcPr>
            <w:tcW w:w="5670" w:type="dxa"/>
            <w:vAlign w:val="center"/>
          </w:tcPr>
          <w:p w:rsidR="005834D8" w:rsidRPr="005834D8" w:rsidRDefault="005834D8" w:rsidP="00605FA9">
            <w:pPr>
              <w:widowControl w:val="0"/>
              <w:tabs>
                <w:tab w:val="left" w:pos="709"/>
                <w:tab w:val="left" w:pos="5245"/>
                <w:tab w:val="left" w:pos="5760"/>
              </w:tabs>
              <w:spacing w:after="0" w:line="240" w:lineRule="auto"/>
              <w:rPr>
                <w:rFonts w:ascii="Times New Roman" w:eastAsia="Times New Roman" w:hAnsi="Times New Roman"/>
                <w:sz w:val="24"/>
                <w:szCs w:val="24"/>
                <w:lang w:eastAsia="ru-RU"/>
              </w:rPr>
            </w:pPr>
            <w:r w:rsidRPr="005834D8">
              <w:rPr>
                <w:rFonts w:ascii="Times New Roman" w:eastAsia="Times New Roman" w:hAnsi="Times New Roman"/>
                <w:color w:val="000000"/>
                <w:sz w:val="24"/>
                <w:szCs w:val="24"/>
                <w:lang w:eastAsia="ru-RU"/>
              </w:rPr>
              <w:t>Суб’єкти господарювання, що надають посередницькі послуги та\або консультаційні послуги під час здійснення операцій з нерухомим майном</w:t>
            </w:r>
          </w:p>
        </w:tc>
      </w:tr>
      <w:tr w:rsidR="00605FA9" w:rsidRPr="00246162" w:rsidTr="00605FA9">
        <w:trPr>
          <w:jc w:val="center"/>
        </w:trPr>
        <w:tc>
          <w:tcPr>
            <w:tcW w:w="1129" w:type="dxa"/>
            <w:vAlign w:val="center"/>
          </w:tcPr>
          <w:p w:rsidR="00605FA9" w:rsidRPr="00246162" w:rsidRDefault="00605FA9" w:rsidP="00911ED8">
            <w:pPr>
              <w:widowControl w:val="0"/>
              <w:tabs>
                <w:tab w:val="left" w:pos="709"/>
                <w:tab w:val="left" w:pos="5245"/>
                <w:tab w:val="left" w:pos="5760"/>
              </w:tabs>
              <w:spacing w:after="0" w:line="240" w:lineRule="auto"/>
              <w:jc w:val="center"/>
              <w:rPr>
                <w:rFonts w:ascii="Times New Roman" w:hAnsi="Times New Roman"/>
                <w:sz w:val="24"/>
                <w:szCs w:val="24"/>
              </w:rPr>
            </w:pPr>
            <w:r w:rsidRPr="00246162">
              <w:rPr>
                <w:rFonts w:ascii="Times New Roman" w:eastAsia="Times New Roman" w:hAnsi="Times New Roman"/>
                <w:sz w:val="24"/>
                <w:szCs w:val="24"/>
                <w:lang w:eastAsia="ru-RU"/>
              </w:rPr>
              <w:t>7240</w:t>
            </w:r>
          </w:p>
        </w:tc>
        <w:tc>
          <w:tcPr>
            <w:tcW w:w="5670" w:type="dxa"/>
            <w:vAlign w:val="center"/>
          </w:tcPr>
          <w:p w:rsidR="00605FA9" w:rsidRPr="00246162" w:rsidRDefault="00605FA9" w:rsidP="00605FA9">
            <w:pPr>
              <w:widowControl w:val="0"/>
              <w:tabs>
                <w:tab w:val="left" w:pos="709"/>
                <w:tab w:val="left" w:pos="5245"/>
                <w:tab w:val="left" w:pos="5760"/>
              </w:tabs>
              <w:spacing w:after="0" w:line="240" w:lineRule="auto"/>
              <w:rPr>
                <w:rFonts w:ascii="Times New Roman" w:hAnsi="Times New Roman"/>
                <w:sz w:val="24"/>
                <w:szCs w:val="24"/>
              </w:rPr>
            </w:pPr>
            <w:r w:rsidRPr="00246162">
              <w:rPr>
                <w:rFonts w:ascii="Times New Roman" w:eastAsia="Times New Roman" w:hAnsi="Times New Roman"/>
                <w:sz w:val="24"/>
                <w:szCs w:val="24"/>
                <w:lang w:eastAsia="ru-RU"/>
              </w:rPr>
              <w:t>Особи, які надають послуги щодо створення, забезпечення діяльності або управління юридичними особами</w:t>
            </w:r>
          </w:p>
        </w:tc>
      </w:tr>
      <w:tr w:rsidR="00605FA9" w:rsidRPr="00246162" w:rsidTr="00605FA9">
        <w:trPr>
          <w:jc w:val="center"/>
        </w:trPr>
        <w:tc>
          <w:tcPr>
            <w:tcW w:w="1129" w:type="dxa"/>
            <w:vAlign w:val="center"/>
          </w:tcPr>
          <w:p w:rsidR="00605FA9" w:rsidRPr="00246162" w:rsidRDefault="00605FA9" w:rsidP="00911ED8">
            <w:pPr>
              <w:widowControl w:val="0"/>
              <w:tabs>
                <w:tab w:val="left" w:pos="709"/>
                <w:tab w:val="left" w:pos="5245"/>
                <w:tab w:val="left" w:pos="5760"/>
              </w:tabs>
              <w:spacing w:after="0" w:line="240" w:lineRule="auto"/>
              <w:jc w:val="center"/>
              <w:rPr>
                <w:rFonts w:ascii="Times New Roman" w:hAnsi="Times New Roman"/>
                <w:sz w:val="24"/>
                <w:szCs w:val="24"/>
              </w:rPr>
            </w:pPr>
            <w:r w:rsidRPr="00246162">
              <w:rPr>
                <w:rFonts w:ascii="Times New Roman" w:eastAsia="Times New Roman" w:hAnsi="Times New Roman"/>
                <w:sz w:val="24"/>
                <w:szCs w:val="24"/>
                <w:lang w:eastAsia="ru-RU"/>
              </w:rPr>
              <w:t>7360</w:t>
            </w:r>
          </w:p>
        </w:tc>
        <w:tc>
          <w:tcPr>
            <w:tcW w:w="5670" w:type="dxa"/>
            <w:vAlign w:val="center"/>
          </w:tcPr>
          <w:p w:rsidR="00605FA9" w:rsidRDefault="00605FA9" w:rsidP="00246162">
            <w:pPr>
              <w:widowControl w:val="0"/>
              <w:tabs>
                <w:tab w:val="left" w:pos="709"/>
                <w:tab w:val="left" w:pos="5245"/>
                <w:tab w:val="left" w:pos="5760"/>
              </w:tabs>
              <w:spacing w:after="0" w:line="240" w:lineRule="auto"/>
              <w:rPr>
                <w:rFonts w:ascii="Times New Roman" w:eastAsia="Times New Roman" w:hAnsi="Times New Roman"/>
                <w:sz w:val="24"/>
                <w:szCs w:val="24"/>
                <w:lang w:eastAsia="ru-RU"/>
              </w:rPr>
            </w:pPr>
            <w:r w:rsidRPr="00246162">
              <w:rPr>
                <w:rFonts w:ascii="Times New Roman" w:eastAsia="Times New Roman" w:hAnsi="Times New Roman"/>
                <w:sz w:val="24"/>
                <w:szCs w:val="24"/>
                <w:lang w:eastAsia="ru-RU"/>
              </w:rPr>
              <w:t>Суб’єкти господарювання, що здійснюють консультування з питань оподаткування</w:t>
            </w:r>
          </w:p>
          <w:p w:rsidR="00605FA9" w:rsidRPr="00246162" w:rsidRDefault="00605FA9" w:rsidP="00246162">
            <w:pPr>
              <w:widowControl w:val="0"/>
              <w:tabs>
                <w:tab w:val="left" w:pos="709"/>
                <w:tab w:val="left" w:pos="5245"/>
                <w:tab w:val="left" w:pos="5760"/>
              </w:tabs>
              <w:spacing w:after="0" w:line="240" w:lineRule="auto"/>
              <w:rPr>
                <w:rFonts w:ascii="Times New Roman" w:hAnsi="Times New Roman"/>
                <w:sz w:val="24"/>
                <w:szCs w:val="24"/>
              </w:rPr>
            </w:pPr>
          </w:p>
        </w:tc>
      </w:tr>
      <w:tr w:rsidR="00911ED8" w:rsidRPr="00976247" w:rsidTr="00783AC2">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11ED8" w:rsidRPr="00976247" w:rsidRDefault="00911ED8" w:rsidP="00911ED8">
            <w:pPr>
              <w:contextualSpacing/>
              <w:rPr>
                <w:rFonts w:ascii="Times New Roman" w:hAnsi="Times New Roman"/>
                <w:sz w:val="24"/>
                <w:szCs w:val="24"/>
              </w:rPr>
            </w:pPr>
            <w:r w:rsidRPr="00976247">
              <w:rPr>
                <w:rFonts w:ascii="Times New Roman" w:hAnsi="Times New Roman"/>
                <w:sz w:val="24"/>
                <w:szCs w:val="24"/>
              </w:rPr>
              <w:t xml:space="preserve">     7370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1ED8" w:rsidRPr="00976247" w:rsidRDefault="00911ED8" w:rsidP="00911ED8">
            <w:pPr>
              <w:spacing w:after="150"/>
              <w:rPr>
                <w:rFonts w:ascii="Times New Roman" w:hAnsi="Times New Roman"/>
                <w:sz w:val="24"/>
                <w:szCs w:val="24"/>
              </w:rPr>
            </w:pPr>
            <w:r w:rsidRPr="00976247">
              <w:rPr>
                <w:rFonts w:ascii="Times New Roman" w:hAnsi="Times New Roman"/>
                <w:color w:val="333333"/>
                <w:sz w:val="24"/>
                <w:szCs w:val="24"/>
              </w:rPr>
              <w:t>Суб’єкти господарювання, які здійснюють торговельну діяльність культурними цінностями та/або надають посередницькі послуги в такій діяльності</w:t>
            </w:r>
          </w:p>
        </w:tc>
      </w:tr>
    </w:tbl>
    <w:p w:rsidR="00605FA9" w:rsidRDefault="00A27515" w:rsidP="009A2F4F">
      <w:pPr>
        <w:widowControl w:val="0"/>
        <w:spacing w:before="120" w:after="120" w:line="240" w:lineRule="auto"/>
        <w:ind w:firstLine="709"/>
        <w:jc w:val="both"/>
        <w:rPr>
          <w:rFonts w:ascii="Times New Roman" w:eastAsia="Times New Roman" w:hAnsi="Times New Roman"/>
          <w:sz w:val="24"/>
          <w:szCs w:val="24"/>
          <w:lang w:eastAsia="ru-RU"/>
        </w:rPr>
      </w:pPr>
      <w:r w:rsidRPr="00A27515">
        <w:rPr>
          <w:rFonts w:ascii="Times New Roman" w:hAnsi="Times New Roman"/>
          <w:sz w:val="24"/>
          <w:szCs w:val="24"/>
        </w:rPr>
        <w:t>Строки постановки на облік у Держ</w:t>
      </w:r>
      <w:r w:rsidR="009A2F4F">
        <w:rPr>
          <w:rFonts w:ascii="Times New Roman" w:hAnsi="Times New Roman"/>
          <w:sz w:val="24"/>
          <w:szCs w:val="24"/>
        </w:rPr>
        <w:t>фінмоніторинг визначені у пункті</w:t>
      </w:r>
      <w:r w:rsidRPr="00A27515">
        <w:rPr>
          <w:rFonts w:ascii="Times New Roman" w:hAnsi="Times New Roman"/>
          <w:sz w:val="24"/>
          <w:szCs w:val="24"/>
        </w:rPr>
        <w:t xml:space="preserve"> 5 Порядку</w:t>
      </w:r>
      <w:r w:rsidR="009A2F4F" w:rsidRPr="009A2F4F">
        <w:rPr>
          <w:rFonts w:ascii="Times New Roman" w:eastAsia="Times New Roman" w:hAnsi="Times New Roman"/>
          <w:sz w:val="28"/>
          <w:szCs w:val="28"/>
          <w:lang w:eastAsia="ru-RU"/>
        </w:rPr>
        <w:t xml:space="preserve"> </w:t>
      </w:r>
      <w:r w:rsidR="009A2F4F" w:rsidRPr="009A2F4F">
        <w:rPr>
          <w:rFonts w:ascii="Times New Roman" w:eastAsia="Times New Roman" w:hAnsi="Times New Roman"/>
          <w:sz w:val="24"/>
          <w:szCs w:val="24"/>
          <w:lang w:eastAsia="ru-RU"/>
        </w:rPr>
        <w:t xml:space="preserve">подання інформації для взяття на облік (зняття з обліку/поновлення на обліку) суб’єктів первинного фінансового моніторингу, реєстрації та подання суб’єктами первинного фінансового моніторингу Державній службі фінансового 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фінансуванням тероризму та фінансуванням розповсюдження зброї масового знищення, </w:t>
      </w:r>
      <w:r w:rsidR="009A2F4F">
        <w:rPr>
          <w:rFonts w:ascii="Times New Roman" w:eastAsia="Times New Roman" w:hAnsi="Times New Roman"/>
          <w:sz w:val="24"/>
          <w:szCs w:val="24"/>
          <w:lang w:eastAsia="ru-RU"/>
        </w:rPr>
        <w:t>затвердженого</w:t>
      </w:r>
      <w:r w:rsidR="009A2F4F" w:rsidRPr="009A2F4F">
        <w:rPr>
          <w:rFonts w:ascii="Times New Roman" w:eastAsia="Times New Roman" w:hAnsi="Times New Roman"/>
          <w:sz w:val="24"/>
          <w:szCs w:val="24"/>
          <w:lang w:eastAsia="ru-RU"/>
        </w:rPr>
        <w:t xml:space="preserve"> постановою Кабінету Міністрів України від 09.09.2020 № 850</w:t>
      </w:r>
      <w:r w:rsidR="009A2F4F">
        <w:rPr>
          <w:rFonts w:ascii="Times New Roman" w:eastAsia="Times New Roman" w:hAnsi="Times New Roman"/>
          <w:sz w:val="24"/>
          <w:szCs w:val="24"/>
          <w:lang w:eastAsia="ru-RU"/>
        </w:rPr>
        <w:t>.</w:t>
      </w:r>
    </w:p>
    <w:p w:rsidR="00CC673D" w:rsidRDefault="00DC141D" w:rsidP="004A27FA">
      <w:pPr>
        <w:pStyle w:val="20"/>
        <w:shd w:val="clear" w:color="auto" w:fill="auto"/>
        <w:spacing w:before="0" w:after="0" w:line="322" w:lineRule="exact"/>
        <w:ind w:firstLine="600"/>
        <w:jc w:val="both"/>
        <w:rPr>
          <w:rFonts w:ascii="Times New Roman" w:hAnsi="Times New Roman" w:cs="Times New Roman"/>
          <w:i/>
          <w:color w:val="000000"/>
          <w:sz w:val="28"/>
          <w:szCs w:val="28"/>
        </w:rPr>
      </w:pPr>
      <w:r w:rsidRPr="00CC673D">
        <w:rPr>
          <w:rFonts w:ascii="Times New Roman" w:eastAsia="Times New Roman" w:hAnsi="Times New Roman"/>
          <w:i/>
          <w:sz w:val="28"/>
          <w:szCs w:val="28"/>
          <w:lang w:eastAsia="ru-RU"/>
        </w:rPr>
        <w:t xml:space="preserve">Звертаємо увагу суб’єктів господарювання, </w:t>
      </w:r>
      <w:r w:rsidRPr="00CC673D">
        <w:rPr>
          <w:rFonts w:ascii="Times New Roman" w:hAnsi="Times New Roman" w:cs="Times New Roman"/>
          <w:i/>
          <w:color w:val="000000"/>
          <w:sz w:val="28"/>
          <w:szCs w:val="28"/>
        </w:rPr>
        <w:t>які проводять азартні ігри</w:t>
      </w:r>
    </w:p>
    <w:p w:rsidR="002C5828" w:rsidRPr="00CC673D" w:rsidRDefault="002C5828" w:rsidP="004A27FA">
      <w:pPr>
        <w:pStyle w:val="20"/>
        <w:shd w:val="clear" w:color="auto" w:fill="auto"/>
        <w:spacing w:before="0" w:after="0" w:line="322" w:lineRule="exact"/>
        <w:ind w:firstLine="600"/>
        <w:jc w:val="both"/>
        <w:rPr>
          <w:rFonts w:ascii="Times New Roman" w:hAnsi="Times New Roman" w:cs="Times New Roman"/>
          <w:i/>
          <w:color w:val="000000"/>
          <w:sz w:val="28"/>
          <w:szCs w:val="28"/>
        </w:rPr>
      </w:pPr>
      <w:bookmarkStart w:id="6" w:name="_GoBack"/>
      <w:bookmarkEnd w:id="6"/>
    </w:p>
    <w:p w:rsidR="004A27FA" w:rsidRPr="004A27FA" w:rsidRDefault="00CC673D" w:rsidP="004A27FA">
      <w:pPr>
        <w:pStyle w:val="20"/>
        <w:shd w:val="clear" w:color="auto" w:fill="auto"/>
        <w:spacing w:before="0" w:after="0" w:line="322" w:lineRule="exact"/>
        <w:ind w:firstLine="600"/>
        <w:jc w:val="both"/>
        <w:rPr>
          <w:sz w:val="28"/>
          <w:szCs w:val="28"/>
        </w:rPr>
      </w:pPr>
      <w:r>
        <w:rPr>
          <w:rFonts w:ascii="Times New Roman" w:hAnsi="Times New Roman"/>
          <w:color w:val="000000"/>
          <w:sz w:val="28"/>
          <w:szCs w:val="28"/>
        </w:rPr>
        <w:t>В</w:t>
      </w:r>
      <w:r w:rsidR="004A27FA">
        <w:rPr>
          <w:rFonts w:ascii="Times New Roman" w:hAnsi="Times New Roman"/>
          <w:color w:val="000000"/>
          <w:sz w:val="28"/>
          <w:szCs w:val="28"/>
        </w:rPr>
        <w:t xml:space="preserve">ідповідно до </w:t>
      </w:r>
      <w:r w:rsidR="004A27FA" w:rsidRPr="004A27FA">
        <w:rPr>
          <w:rFonts w:ascii="Times New Roman" w:eastAsia="Times New Roman" w:hAnsi="Times New Roman" w:cs="Times New Roman"/>
          <w:color w:val="000000"/>
          <w:sz w:val="28"/>
          <w:szCs w:val="28"/>
          <w:lang w:eastAsia="uk-UA" w:bidi="uk-UA"/>
        </w:rPr>
        <w:t xml:space="preserve">частини першої статті 2 Закону України «Про державне регулювання діяльності щодо організації та проведення азартних ігор» на території України дозволяється організовувати та проводити такі види </w:t>
      </w:r>
      <w:r w:rsidR="004A27FA" w:rsidRPr="004A27FA">
        <w:rPr>
          <w:rFonts w:ascii="Times New Roman" w:eastAsia="Times New Roman" w:hAnsi="Times New Roman" w:cs="Times New Roman"/>
          <w:color w:val="000000"/>
          <w:sz w:val="28"/>
          <w:szCs w:val="28"/>
          <w:lang w:eastAsia="uk-UA" w:bidi="uk-UA"/>
        </w:rPr>
        <w:lastRenderedPageBreak/>
        <w:t>діяльності у сфері організації та проведення азартних ігор:</w:t>
      </w:r>
    </w:p>
    <w:p w:rsidR="004A27FA" w:rsidRPr="004A27FA" w:rsidRDefault="004A27FA" w:rsidP="004A27FA">
      <w:pPr>
        <w:pStyle w:val="20"/>
        <w:numPr>
          <w:ilvl w:val="0"/>
          <w:numId w:val="2"/>
        </w:numPr>
        <w:shd w:val="clear" w:color="auto" w:fill="auto"/>
        <w:tabs>
          <w:tab w:val="left" w:pos="987"/>
        </w:tabs>
        <w:spacing w:before="0" w:after="0" w:line="322" w:lineRule="exact"/>
        <w:ind w:firstLine="600"/>
        <w:jc w:val="both"/>
        <w:rPr>
          <w:sz w:val="28"/>
          <w:szCs w:val="28"/>
        </w:rPr>
      </w:pPr>
      <w:r w:rsidRPr="004A27FA">
        <w:rPr>
          <w:rFonts w:ascii="Times New Roman" w:eastAsia="Times New Roman" w:hAnsi="Times New Roman" w:cs="Times New Roman"/>
          <w:color w:val="000000"/>
          <w:sz w:val="28"/>
          <w:szCs w:val="28"/>
          <w:lang w:eastAsia="uk-UA" w:bidi="uk-UA"/>
        </w:rPr>
        <w:t>організація та проведення азартних ігор у гральних закладах казино;</w:t>
      </w:r>
    </w:p>
    <w:p w:rsidR="004A27FA" w:rsidRPr="004A27FA" w:rsidRDefault="004A27FA" w:rsidP="004A27FA">
      <w:pPr>
        <w:pStyle w:val="20"/>
        <w:numPr>
          <w:ilvl w:val="0"/>
          <w:numId w:val="2"/>
        </w:numPr>
        <w:shd w:val="clear" w:color="auto" w:fill="auto"/>
        <w:tabs>
          <w:tab w:val="left" w:pos="1011"/>
        </w:tabs>
        <w:spacing w:before="0" w:after="0" w:line="322" w:lineRule="exact"/>
        <w:ind w:firstLine="600"/>
        <w:jc w:val="both"/>
        <w:rPr>
          <w:sz w:val="28"/>
          <w:szCs w:val="28"/>
        </w:rPr>
      </w:pPr>
      <w:r w:rsidRPr="004A27FA">
        <w:rPr>
          <w:rFonts w:ascii="Times New Roman" w:eastAsia="Times New Roman" w:hAnsi="Times New Roman" w:cs="Times New Roman"/>
          <w:color w:val="000000"/>
          <w:sz w:val="28"/>
          <w:szCs w:val="28"/>
          <w:lang w:eastAsia="uk-UA" w:bidi="uk-UA"/>
        </w:rPr>
        <w:t>організація та проведення азартних ігор казино в мережі Інтернет;</w:t>
      </w:r>
    </w:p>
    <w:p w:rsidR="004A27FA" w:rsidRPr="004A27FA" w:rsidRDefault="004A27FA" w:rsidP="004A27FA">
      <w:pPr>
        <w:pStyle w:val="20"/>
        <w:numPr>
          <w:ilvl w:val="0"/>
          <w:numId w:val="2"/>
        </w:numPr>
        <w:shd w:val="clear" w:color="auto" w:fill="auto"/>
        <w:tabs>
          <w:tab w:val="left" w:pos="987"/>
        </w:tabs>
        <w:spacing w:before="0" w:after="0" w:line="322" w:lineRule="exact"/>
        <w:ind w:firstLine="600"/>
        <w:jc w:val="both"/>
        <w:rPr>
          <w:sz w:val="28"/>
          <w:szCs w:val="28"/>
        </w:rPr>
      </w:pPr>
      <w:r w:rsidRPr="004A27FA">
        <w:rPr>
          <w:rFonts w:ascii="Times New Roman" w:eastAsia="Times New Roman" w:hAnsi="Times New Roman" w:cs="Times New Roman"/>
          <w:color w:val="000000"/>
          <w:sz w:val="28"/>
          <w:szCs w:val="28"/>
          <w:lang w:eastAsia="uk-UA" w:bidi="uk-UA"/>
        </w:rPr>
        <w:t>організація та проведення букмекерської діяльності в букмекерських пунктах та в мережі Інтернет;</w:t>
      </w:r>
    </w:p>
    <w:p w:rsidR="004A27FA" w:rsidRPr="004A27FA" w:rsidRDefault="004A27FA" w:rsidP="004A27FA">
      <w:pPr>
        <w:pStyle w:val="20"/>
        <w:numPr>
          <w:ilvl w:val="0"/>
          <w:numId w:val="2"/>
        </w:numPr>
        <w:shd w:val="clear" w:color="auto" w:fill="auto"/>
        <w:tabs>
          <w:tab w:val="left" w:pos="1011"/>
        </w:tabs>
        <w:spacing w:before="0" w:after="0" w:line="322" w:lineRule="exact"/>
        <w:ind w:firstLine="600"/>
        <w:jc w:val="both"/>
        <w:rPr>
          <w:sz w:val="28"/>
          <w:szCs w:val="28"/>
        </w:rPr>
      </w:pPr>
      <w:r w:rsidRPr="004A27FA">
        <w:rPr>
          <w:rFonts w:ascii="Times New Roman" w:eastAsia="Times New Roman" w:hAnsi="Times New Roman" w:cs="Times New Roman"/>
          <w:color w:val="000000"/>
          <w:sz w:val="28"/>
          <w:szCs w:val="28"/>
          <w:lang w:eastAsia="uk-UA" w:bidi="uk-UA"/>
        </w:rPr>
        <w:t>організація та проведення азартних ігор у залах гральних автоматів;</w:t>
      </w:r>
    </w:p>
    <w:p w:rsidR="004A27FA" w:rsidRPr="004A27FA" w:rsidRDefault="004A27FA" w:rsidP="004A27FA">
      <w:pPr>
        <w:pStyle w:val="20"/>
        <w:numPr>
          <w:ilvl w:val="0"/>
          <w:numId w:val="2"/>
        </w:numPr>
        <w:shd w:val="clear" w:color="auto" w:fill="auto"/>
        <w:tabs>
          <w:tab w:val="left" w:pos="1011"/>
        </w:tabs>
        <w:spacing w:before="0" w:after="0" w:line="322" w:lineRule="exact"/>
        <w:ind w:firstLine="600"/>
        <w:jc w:val="both"/>
        <w:rPr>
          <w:sz w:val="28"/>
          <w:szCs w:val="28"/>
        </w:rPr>
      </w:pPr>
      <w:r w:rsidRPr="004A27FA">
        <w:rPr>
          <w:rFonts w:ascii="Times New Roman" w:eastAsia="Times New Roman" w:hAnsi="Times New Roman" w:cs="Times New Roman"/>
          <w:color w:val="000000"/>
          <w:sz w:val="28"/>
          <w:szCs w:val="28"/>
          <w:lang w:eastAsia="uk-UA" w:bidi="uk-UA"/>
        </w:rPr>
        <w:t>організація та проведення азартних ігор в покер в мережі Інтернет.</w:t>
      </w:r>
    </w:p>
    <w:p w:rsidR="004A27FA" w:rsidRPr="00DC141D" w:rsidRDefault="00CC673D" w:rsidP="00CC673D">
      <w:pPr>
        <w:widowControl w:val="0"/>
        <w:tabs>
          <w:tab w:val="left" w:pos="709"/>
          <w:tab w:val="left" w:pos="5245"/>
          <w:tab w:val="left" w:pos="5760"/>
        </w:tabs>
        <w:spacing w:before="240" w:after="120" w:line="240" w:lineRule="auto"/>
        <w:jc w:val="both"/>
        <w:rPr>
          <w:rFonts w:ascii="Times New Roman" w:eastAsia="Times New Roman" w:hAnsi="Times New Roman"/>
          <w:sz w:val="28"/>
          <w:szCs w:val="28"/>
          <w:lang w:eastAsia="ru-RU"/>
        </w:rPr>
      </w:pPr>
      <w:r>
        <w:rPr>
          <w:rFonts w:ascii="Times New Roman" w:hAnsi="Times New Roman"/>
          <w:sz w:val="28"/>
          <w:szCs w:val="28"/>
        </w:rPr>
        <w:tab/>
        <w:t>Д</w:t>
      </w:r>
      <w:r w:rsidRPr="00CC673D">
        <w:rPr>
          <w:rFonts w:ascii="Times New Roman" w:hAnsi="Times New Roman"/>
          <w:sz w:val="28"/>
          <w:szCs w:val="28"/>
        </w:rPr>
        <w:t xml:space="preserve">о </w:t>
      </w:r>
      <w:r w:rsidRPr="00CC673D">
        <w:rPr>
          <w:rFonts w:ascii="Times New Roman" w:eastAsia="Times New Roman" w:hAnsi="Times New Roman"/>
          <w:color w:val="000000"/>
          <w:sz w:val="28"/>
          <w:szCs w:val="28"/>
          <w:lang w:eastAsia="uk-UA"/>
        </w:rPr>
        <w:t xml:space="preserve">набрання чинності </w:t>
      </w:r>
      <w:r w:rsidRPr="00CC673D">
        <w:rPr>
          <w:rFonts w:ascii="Times New Roman" w:eastAsia="Times New Roman" w:hAnsi="Times New Roman"/>
          <w:sz w:val="28"/>
          <w:szCs w:val="28"/>
          <w:lang w:eastAsia="uk-UA"/>
        </w:rPr>
        <w:t xml:space="preserve">новими </w:t>
      </w:r>
      <w:r w:rsidRPr="00CC673D">
        <w:rPr>
          <w:rFonts w:ascii="Times New Roman" w:eastAsia="Times New Roman" w:hAnsi="Times New Roman"/>
          <w:color w:val="000000"/>
          <w:sz w:val="28"/>
          <w:szCs w:val="28"/>
          <w:lang w:eastAsia="uk-UA"/>
        </w:rPr>
        <w:t xml:space="preserve">підзаконними </w:t>
      </w:r>
      <w:r w:rsidRPr="00CC673D">
        <w:rPr>
          <w:rFonts w:ascii="Times New Roman" w:eastAsia="Times New Roman" w:hAnsi="Times New Roman"/>
          <w:sz w:val="28"/>
          <w:szCs w:val="28"/>
          <w:lang w:eastAsia="uk-UA"/>
        </w:rPr>
        <w:t xml:space="preserve">нормативно-правовими актами, </w:t>
      </w:r>
      <w:r w:rsidRPr="00CC673D">
        <w:rPr>
          <w:rFonts w:ascii="Times New Roman" w:eastAsia="Times New Roman" w:hAnsi="Times New Roman"/>
          <w:color w:val="000000"/>
          <w:sz w:val="28"/>
          <w:szCs w:val="28"/>
          <w:lang w:eastAsia="uk-UA"/>
        </w:rPr>
        <w:t>рекомендуємо</w:t>
      </w:r>
      <w:r w:rsidRPr="00CC673D">
        <w:rPr>
          <w:rFonts w:ascii="Times New Roman" w:hAnsi="Times New Roman"/>
          <w:sz w:val="28"/>
          <w:szCs w:val="28"/>
        </w:rPr>
        <w:t xml:space="preserve"> при постановці на облік у Держфінмоніторингу </w:t>
      </w:r>
      <w:r>
        <w:rPr>
          <w:rFonts w:ascii="Times New Roman" w:hAnsi="Times New Roman"/>
          <w:sz w:val="28"/>
          <w:szCs w:val="28"/>
        </w:rPr>
        <w:t>користуватись наступним кодом</w:t>
      </w:r>
      <w:r w:rsidRPr="00CC673D">
        <w:rPr>
          <w:rFonts w:ascii="Times New Roman" w:hAnsi="Times New Roman"/>
          <w:sz w:val="28"/>
          <w:szCs w:val="28"/>
        </w:rPr>
        <w:t xml:space="preserve"> видів СПФМ:</w:t>
      </w:r>
    </w:p>
    <w:tbl>
      <w:tblPr>
        <w:tblStyle w:val="a9"/>
        <w:tblW w:w="0" w:type="auto"/>
        <w:jc w:val="center"/>
        <w:tblCellMar>
          <w:left w:w="57" w:type="dxa"/>
          <w:right w:w="57" w:type="dxa"/>
        </w:tblCellMar>
        <w:tblLook w:val="04A0" w:firstRow="1" w:lastRow="0" w:firstColumn="1" w:lastColumn="0" w:noHBand="0" w:noVBand="1"/>
      </w:tblPr>
      <w:tblGrid>
        <w:gridCol w:w="1129"/>
        <w:gridCol w:w="5670"/>
      </w:tblGrid>
      <w:tr w:rsidR="00DC141D" w:rsidRPr="00152F97" w:rsidTr="001C5EC6">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DC141D" w:rsidRPr="00152F97" w:rsidRDefault="00DC141D" w:rsidP="001C5EC6">
            <w:pPr>
              <w:ind w:left="360"/>
              <w:contextualSpacing/>
              <w:jc w:val="both"/>
              <w:rPr>
                <w:rFonts w:ascii="Times New Roman" w:hAnsi="Times New Roman"/>
                <w:sz w:val="24"/>
                <w:szCs w:val="24"/>
              </w:rPr>
            </w:pPr>
            <w:r w:rsidRPr="00152F97">
              <w:rPr>
                <w:rFonts w:ascii="Times New Roman" w:hAnsi="Times New Roman"/>
                <w:sz w:val="24"/>
                <w:szCs w:val="24"/>
              </w:rPr>
              <w:t>9110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C141D" w:rsidRPr="00152F97" w:rsidRDefault="00DC141D" w:rsidP="001C5EC6">
            <w:pPr>
              <w:jc w:val="both"/>
              <w:rPr>
                <w:rFonts w:ascii="Times New Roman" w:hAnsi="Times New Roman"/>
                <w:color w:val="333333"/>
                <w:sz w:val="24"/>
                <w:szCs w:val="24"/>
              </w:rPr>
            </w:pPr>
            <w:r>
              <w:rPr>
                <w:rFonts w:ascii="Times New Roman" w:hAnsi="Times New Roman"/>
                <w:spacing w:val="-2"/>
                <w:sz w:val="24"/>
                <w:szCs w:val="24"/>
                <w:lang w:eastAsia="uk-UA"/>
              </w:rPr>
              <w:t>С</w:t>
            </w:r>
            <w:r w:rsidRPr="00152F97">
              <w:rPr>
                <w:rFonts w:ascii="Times New Roman" w:hAnsi="Times New Roman"/>
                <w:spacing w:val="-2"/>
                <w:sz w:val="24"/>
                <w:szCs w:val="24"/>
                <w:lang w:eastAsia="uk-UA"/>
              </w:rPr>
              <w:t xml:space="preserve">уб’єкти господарювання, які </w:t>
            </w:r>
            <w:r>
              <w:rPr>
                <w:rFonts w:ascii="Times New Roman" w:hAnsi="Times New Roman"/>
                <w:spacing w:val="-2"/>
                <w:sz w:val="24"/>
                <w:szCs w:val="24"/>
                <w:lang w:eastAsia="uk-UA"/>
              </w:rPr>
              <w:t>проводять азартні ігри, у тому числі казино</w:t>
            </w:r>
            <w:r w:rsidRPr="00152F97">
              <w:rPr>
                <w:rFonts w:ascii="Times New Roman" w:hAnsi="Times New Roman"/>
                <w:sz w:val="24"/>
                <w:szCs w:val="24"/>
              </w:rPr>
              <w:t xml:space="preserve"> </w:t>
            </w:r>
          </w:p>
        </w:tc>
      </w:tr>
    </w:tbl>
    <w:p w:rsidR="00DC141D" w:rsidRPr="009A2F4F" w:rsidRDefault="00DC141D" w:rsidP="009A2F4F">
      <w:pPr>
        <w:widowControl w:val="0"/>
        <w:spacing w:before="120" w:after="120" w:line="240" w:lineRule="auto"/>
        <w:ind w:firstLine="709"/>
        <w:jc w:val="both"/>
        <w:rPr>
          <w:rFonts w:ascii="Times New Roman" w:hAnsi="Times New Roman"/>
          <w:sz w:val="24"/>
          <w:szCs w:val="24"/>
        </w:rPr>
      </w:pPr>
    </w:p>
    <w:sectPr w:rsidR="00DC141D" w:rsidRPr="009A2F4F" w:rsidSect="002A37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22" w:rsidRDefault="00221C22" w:rsidP="002A3708">
      <w:pPr>
        <w:spacing w:after="0" w:line="240" w:lineRule="auto"/>
      </w:pPr>
      <w:r>
        <w:separator/>
      </w:r>
    </w:p>
  </w:endnote>
  <w:endnote w:type="continuationSeparator" w:id="0">
    <w:p w:rsidR="00221C22" w:rsidRDefault="00221C22" w:rsidP="002A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22" w:rsidRDefault="00221C22" w:rsidP="002A3708">
      <w:pPr>
        <w:spacing w:after="0" w:line="240" w:lineRule="auto"/>
      </w:pPr>
      <w:r>
        <w:separator/>
      </w:r>
    </w:p>
  </w:footnote>
  <w:footnote w:type="continuationSeparator" w:id="0">
    <w:p w:rsidR="00221C22" w:rsidRDefault="00221C22" w:rsidP="002A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8495"/>
      <w:docPartObj>
        <w:docPartGallery w:val="Page Numbers (Top of Page)"/>
        <w:docPartUnique/>
      </w:docPartObj>
    </w:sdtPr>
    <w:sdtEndPr/>
    <w:sdtContent>
      <w:p w:rsidR="002A3708" w:rsidRDefault="002A3708">
        <w:pPr>
          <w:pStyle w:val="a5"/>
          <w:jc w:val="center"/>
        </w:pPr>
        <w:r>
          <w:fldChar w:fldCharType="begin"/>
        </w:r>
        <w:r>
          <w:instrText>PAGE   \* MERGEFORMAT</w:instrText>
        </w:r>
        <w:r>
          <w:fldChar w:fldCharType="separate"/>
        </w:r>
        <w:r w:rsidR="002C5828">
          <w:rPr>
            <w:noProof/>
          </w:rPr>
          <w:t>3</w:t>
        </w:r>
        <w:r>
          <w:fldChar w:fldCharType="end"/>
        </w:r>
      </w:p>
    </w:sdtContent>
  </w:sdt>
  <w:p w:rsidR="002A3708" w:rsidRDefault="002A370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334F"/>
    <w:multiLevelType w:val="hybridMultilevel"/>
    <w:tmpl w:val="349221E4"/>
    <w:lvl w:ilvl="0" w:tplc="BFA00F16">
      <w:start w:val="101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76D22211"/>
    <w:multiLevelType w:val="multilevel"/>
    <w:tmpl w:val="427E5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66"/>
    <w:rsid w:val="000117CF"/>
    <w:rsid w:val="000145E6"/>
    <w:rsid w:val="00052EFE"/>
    <w:rsid w:val="0008024C"/>
    <w:rsid w:val="000C1F4A"/>
    <w:rsid w:val="000E38F4"/>
    <w:rsid w:val="000F4BDA"/>
    <w:rsid w:val="00114530"/>
    <w:rsid w:val="00115A80"/>
    <w:rsid w:val="00152F97"/>
    <w:rsid w:val="001A55D3"/>
    <w:rsid w:val="001C1C3C"/>
    <w:rsid w:val="001D3EEE"/>
    <w:rsid w:val="001D41A6"/>
    <w:rsid w:val="001E58B7"/>
    <w:rsid w:val="002201B3"/>
    <w:rsid w:val="00220B6B"/>
    <w:rsid w:val="00221C22"/>
    <w:rsid w:val="00234855"/>
    <w:rsid w:val="00235D49"/>
    <w:rsid w:val="00246162"/>
    <w:rsid w:val="00251DCE"/>
    <w:rsid w:val="002572CF"/>
    <w:rsid w:val="00261759"/>
    <w:rsid w:val="00271A92"/>
    <w:rsid w:val="002833A7"/>
    <w:rsid w:val="002A1E83"/>
    <w:rsid w:val="002A3708"/>
    <w:rsid w:val="002A79C8"/>
    <w:rsid w:val="002B181B"/>
    <w:rsid w:val="002B36D4"/>
    <w:rsid w:val="002C5828"/>
    <w:rsid w:val="002C6FDB"/>
    <w:rsid w:val="002E0972"/>
    <w:rsid w:val="002F2082"/>
    <w:rsid w:val="00330D32"/>
    <w:rsid w:val="003432A5"/>
    <w:rsid w:val="00344591"/>
    <w:rsid w:val="00351830"/>
    <w:rsid w:val="00376937"/>
    <w:rsid w:val="00390058"/>
    <w:rsid w:val="00395058"/>
    <w:rsid w:val="00395871"/>
    <w:rsid w:val="00396F5A"/>
    <w:rsid w:val="003A1731"/>
    <w:rsid w:val="003A1A1A"/>
    <w:rsid w:val="003A4E0B"/>
    <w:rsid w:val="003C728F"/>
    <w:rsid w:val="003D1807"/>
    <w:rsid w:val="003D694E"/>
    <w:rsid w:val="003E3AF6"/>
    <w:rsid w:val="003E4D25"/>
    <w:rsid w:val="00400FB7"/>
    <w:rsid w:val="004173E7"/>
    <w:rsid w:val="00453686"/>
    <w:rsid w:val="004732F8"/>
    <w:rsid w:val="004743A8"/>
    <w:rsid w:val="00474D01"/>
    <w:rsid w:val="00486D10"/>
    <w:rsid w:val="004A27FA"/>
    <w:rsid w:val="004B7B2F"/>
    <w:rsid w:val="004D1709"/>
    <w:rsid w:val="004F6DF0"/>
    <w:rsid w:val="0053112D"/>
    <w:rsid w:val="00542F30"/>
    <w:rsid w:val="005526E9"/>
    <w:rsid w:val="005543E0"/>
    <w:rsid w:val="005600F9"/>
    <w:rsid w:val="005834D8"/>
    <w:rsid w:val="00586C59"/>
    <w:rsid w:val="005A3246"/>
    <w:rsid w:val="005A51B5"/>
    <w:rsid w:val="005A7EB5"/>
    <w:rsid w:val="005B1B22"/>
    <w:rsid w:val="00605FA9"/>
    <w:rsid w:val="00606EFA"/>
    <w:rsid w:val="00615FB3"/>
    <w:rsid w:val="0062238C"/>
    <w:rsid w:val="006226C0"/>
    <w:rsid w:val="006259F0"/>
    <w:rsid w:val="00644418"/>
    <w:rsid w:val="006468D4"/>
    <w:rsid w:val="006618D1"/>
    <w:rsid w:val="0066234D"/>
    <w:rsid w:val="006731BE"/>
    <w:rsid w:val="006B33DF"/>
    <w:rsid w:val="006B3F67"/>
    <w:rsid w:val="006C0A61"/>
    <w:rsid w:val="006D127D"/>
    <w:rsid w:val="006D19F7"/>
    <w:rsid w:val="006E79B7"/>
    <w:rsid w:val="00702376"/>
    <w:rsid w:val="00716610"/>
    <w:rsid w:val="0072425B"/>
    <w:rsid w:val="0075218A"/>
    <w:rsid w:val="00760590"/>
    <w:rsid w:val="00762783"/>
    <w:rsid w:val="0076618A"/>
    <w:rsid w:val="007766C0"/>
    <w:rsid w:val="00782EFE"/>
    <w:rsid w:val="00797D8B"/>
    <w:rsid w:val="007A6D1E"/>
    <w:rsid w:val="007C1B22"/>
    <w:rsid w:val="007E1725"/>
    <w:rsid w:val="00800DB9"/>
    <w:rsid w:val="00833731"/>
    <w:rsid w:val="0083792B"/>
    <w:rsid w:val="00860BB6"/>
    <w:rsid w:val="0086279B"/>
    <w:rsid w:val="00880789"/>
    <w:rsid w:val="00886979"/>
    <w:rsid w:val="00886F49"/>
    <w:rsid w:val="008F2D48"/>
    <w:rsid w:val="008F3CE3"/>
    <w:rsid w:val="00904D96"/>
    <w:rsid w:val="00911ED8"/>
    <w:rsid w:val="00920D44"/>
    <w:rsid w:val="0092732D"/>
    <w:rsid w:val="00936495"/>
    <w:rsid w:val="00962E5D"/>
    <w:rsid w:val="00967841"/>
    <w:rsid w:val="0097169A"/>
    <w:rsid w:val="00976247"/>
    <w:rsid w:val="009768AB"/>
    <w:rsid w:val="00983198"/>
    <w:rsid w:val="00996AB1"/>
    <w:rsid w:val="009A2F4F"/>
    <w:rsid w:val="009C08BF"/>
    <w:rsid w:val="009C1E04"/>
    <w:rsid w:val="009E3173"/>
    <w:rsid w:val="009F0C8E"/>
    <w:rsid w:val="00A00A6A"/>
    <w:rsid w:val="00A16D5F"/>
    <w:rsid w:val="00A27515"/>
    <w:rsid w:val="00A52A56"/>
    <w:rsid w:val="00A73C81"/>
    <w:rsid w:val="00A75489"/>
    <w:rsid w:val="00A802C5"/>
    <w:rsid w:val="00A84A90"/>
    <w:rsid w:val="00AB2269"/>
    <w:rsid w:val="00AB4FB9"/>
    <w:rsid w:val="00AF4C9D"/>
    <w:rsid w:val="00B02D50"/>
    <w:rsid w:val="00B53BA3"/>
    <w:rsid w:val="00B547AA"/>
    <w:rsid w:val="00B661F4"/>
    <w:rsid w:val="00B7706E"/>
    <w:rsid w:val="00B804E1"/>
    <w:rsid w:val="00B908D1"/>
    <w:rsid w:val="00B95EE4"/>
    <w:rsid w:val="00BB2D56"/>
    <w:rsid w:val="00BC454B"/>
    <w:rsid w:val="00BD6E9C"/>
    <w:rsid w:val="00BE652A"/>
    <w:rsid w:val="00C0064D"/>
    <w:rsid w:val="00C1107A"/>
    <w:rsid w:val="00C2268A"/>
    <w:rsid w:val="00C26704"/>
    <w:rsid w:val="00C369BC"/>
    <w:rsid w:val="00C6264F"/>
    <w:rsid w:val="00C675A3"/>
    <w:rsid w:val="00C87B07"/>
    <w:rsid w:val="00CB08E9"/>
    <w:rsid w:val="00CB23B7"/>
    <w:rsid w:val="00CB575B"/>
    <w:rsid w:val="00CC673D"/>
    <w:rsid w:val="00CD61BF"/>
    <w:rsid w:val="00CF5566"/>
    <w:rsid w:val="00D105F8"/>
    <w:rsid w:val="00D20E16"/>
    <w:rsid w:val="00D2248F"/>
    <w:rsid w:val="00D3376B"/>
    <w:rsid w:val="00D943D3"/>
    <w:rsid w:val="00D97357"/>
    <w:rsid w:val="00DA38EF"/>
    <w:rsid w:val="00DB58AA"/>
    <w:rsid w:val="00DC141D"/>
    <w:rsid w:val="00DD3D05"/>
    <w:rsid w:val="00E256E0"/>
    <w:rsid w:val="00E50F06"/>
    <w:rsid w:val="00E6185A"/>
    <w:rsid w:val="00E7666F"/>
    <w:rsid w:val="00E77467"/>
    <w:rsid w:val="00E82825"/>
    <w:rsid w:val="00E82BF2"/>
    <w:rsid w:val="00E905E0"/>
    <w:rsid w:val="00EB25D4"/>
    <w:rsid w:val="00EC675F"/>
    <w:rsid w:val="00ED5E50"/>
    <w:rsid w:val="00ED6015"/>
    <w:rsid w:val="00F00091"/>
    <w:rsid w:val="00F01DAB"/>
    <w:rsid w:val="00F03DD9"/>
    <w:rsid w:val="00F0663F"/>
    <w:rsid w:val="00F17697"/>
    <w:rsid w:val="00F21638"/>
    <w:rsid w:val="00F22CC8"/>
    <w:rsid w:val="00F250E8"/>
    <w:rsid w:val="00F406F3"/>
    <w:rsid w:val="00F567C2"/>
    <w:rsid w:val="00F714A5"/>
    <w:rsid w:val="00FA1747"/>
    <w:rsid w:val="00FA5531"/>
    <w:rsid w:val="00FD3A11"/>
    <w:rsid w:val="00FF2A6A"/>
    <w:rsid w:val="00FF4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F7B8"/>
  <w15:chartTrackingRefBased/>
  <w15:docId w15:val="{5943B2BC-7151-4A06-9840-7A51851D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F4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C1F4A"/>
    <w:rPr>
      <w:rFonts w:ascii="Segoe UI" w:eastAsia="Calibri" w:hAnsi="Segoe UI" w:cs="Segoe UI"/>
      <w:sz w:val="18"/>
      <w:szCs w:val="18"/>
    </w:rPr>
  </w:style>
  <w:style w:type="paragraph" w:styleId="a5">
    <w:name w:val="header"/>
    <w:basedOn w:val="a"/>
    <w:link w:val="a6"/>
    <w:uiPriority w:val="99"/>
    <w:unhideWhenUsed/>
    <w:rsid w:val="002A370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A3708"/>
    <w:rPr>
      <w:rFonts w:ascii="Calibri" w:eastAsia="Calibri" w:hAnsi="Calibri" w:cs="Times New Roman"/>
    </w:rPr>
  </w:style>
  <w:style w:type="paragraph" w:styleId="a7">
    <w:name w:val="footer"/>
    <w:basedOn w:val="a"/>
    <w:link w:val="a8"/>
    <w:uiPriority w:val="99"/>
    <w:unhideWhenUsed/>
    <w:rsid w:val="002A370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A3708"/>
    <w:rPr>
      <w:rFonts w:ascii="Calibri" w:eastAsia="Calibri" w:hAnsi="Calibri" w:cs="Times New Roman"/>
    </w:rPr>
  </w:style>
  <w:style w:type="table" w:styleId="a9">
    <w:name w:val="Table Grid"/>
    <w:basedOn w:val="a1"/>
    <w:uiPriority w:val="39"/>
    <w:rsid w:val="0022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43A8"/>
    <w:pPr>
      <w:ind w:left="720"/>
      <w:contextualSpacing/>
    </w:pPr>
  </w:style>
  <w:style w:type="paragraph" w:styleId="ab">
    <w:name w:val="Normal (Web)"/>
    <w:basedOn w:val="a"/>
    <w:uiPriority w:val="99"/>
    <w:unhideWhenUsed/>
    <w:rsid w:val="00CB575B"/>
    <w:pPr>
      <w:spacing w:before="100" w:beforeAutospacing="1" w:after="100" w:afterAutospacing="1" w:line="240" w:lineRule="auto"/>
    </w:pPr>
    <w:rPr>
      <w:rFonts w:ascii="Times New Roman" w:eastAsiaTheme="minorEastAsia" w:hAnsi="Times New Roman"/>
      <w:sz w:val="24"/>
      <w:szCs w:val="24"/>
      <w:lang w:eastAsia="uk-UA"/>
    </w:rPr>
  </w:style>
  <w:style w:type="character" w:customStyle="1" w:styleId="2">
    <w:name w:val="Основний текст (2)_"/>
    <w:basedOn w:val="a0"/>
    <w:link w:val="20"/>
    <w:rsid w:val="004A27FA"/>
    <w:rPr>
      <w:sz w:val="26"/>
      <w:szCs w:val="26"/>
      <w:shd w:val="clear" w:color="auto" w:fill="FFFFFF"/>
    </w:rPr>
  </w:style>
  <w:style w:type="paragraph" w:customStyle="1" w:styleId="20">
    <w:name w:val="Основний текст (2)"/>
    <w:basedOn w:val="a"/>
    <w:link w:val="2"/>
    <w:rsid w:val="004A27FA"/>
    <w:pPr>
      <w:widowControl w:val="0"/>
      <w:shd w:val="clear" w:color="auto" w:fill="FFFFFF"/>
      <w:spacing w:before="240" w:after="240" w:line="278" w:lineRule="exact"/>
      <w:jc w:val="center"/>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F42F-861B-437D-B9B7-CC254CC7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3543</Words>
  <Characters>2021</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Доманська Леся Анатоліївна</dc:creator>
  <cp:keywords/>
  <dc:description/>
  <cp:lastModifiedBy>Денисенко-Онищенко Марина Іванівна</cp:lastModifiedBy>
  <cp:revision>15</cp:revision>
  <cp:lastPrinted>2023-08-01T11:41:00Z</cp:lastPrinted>
  <dcterms:created xsi:type="dcterms:W3CDTF">2023-05-17T06:40:00Z</dcterms:created>
  <dcterms:modified xsi:type="dcterms:W3CDTF">2023-08-14T06:42:00Z</dcterms:modified>
</cp:coreProperties>
</file>